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Twin Implementation Guide</w:t>
      </w:r>
    </w:p>
    <w:p>
      <w:r>
        <w:t>Abstract: This document provides guidance on implementing a Digital Twin system for industrial applications.</w:t>
      </w:r>
    </w:p>
    <w:p>
      <w:r>
        <w:t>to successfully deploy a Digital Twin, organizations must first understand the underlying architecture. because these systems are complex, careful planning is required. proper data synchronization is critical for real-time operations.</w:t>
      </w:r>
    </w:p>
    <w:p>
      <w:r>
        <w:t>The Digital Twin Consortium recommends a phased approach to implementation. Each phase should be validated before proceeding to the next stage, which includes data collection, model creation, and integration testing, because these steps build upon each other and require careful coordination between multiple teams that may have different priorities and timelines that need to be aligned.</w:t>
      </w:r>
    </w:p>
    <w:p>
      <w:r>
        <w:t>As has been demonstrated in previous implementations, organizations that skip the validation phase often encounter significant issues later in the deployment process.</w:t>
      </w:r>
    </w:p>
    <w:p>
      <w:r>
        <w:t>Figure 1 shows the basic architecture. Table 2 provides configuration parameters.</w:t>
      </w:r>
    </w:p>
    <w:p>
      <w:r>
        <w:t>References: [1] DTC Best Practices Guide, 2024</w:t>
      </w:r>
    </w:p>
    <w:p>
      <w:r>
        <w:t>Authors: Technical Working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