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Strategie di Scalabilità e Migrazione: Da Groq a Google Gemini</w:t>
      </w:r>
    </w:p>
    <w:p>
      <w:pPr>
        <w:jc w:val="center"/>
      </w:pPr>
      <w:r>
        <w:t>Analisi tecnica e gestione delle risorse per Agenti IA</w:t>
      </w:r>
    </w:p>
    <w:p>
      <w:pPr>
        <w:jc w:val="center"/>
      </w:pPr>
      <w:r>
        <w:t>Riferimento: Chip Huyen, "AI Engineering", Capitolo 6</w:t>
      </w:r>
    </w:p>
    <w:p>
      <w:pPr>
        <w:pStyle w:val="Heading1"/>
      </w:pPr>
      <w:r>
        <w:t>1. Il Problema: Perché finiscono i token?</w:t>
      </w:r>
    </w:p>
    <w:p>
      <w:r>
        <w:t>Nello sviluppo di un agente, a differenza di un semplice chatbot, il consumo di risorse non è lineare. Ogni singolo messaggio inviato dallo studente innesca una reazione a catena nel backend che consuma quote di API (Token).</w:t>
      </w:r>
    </w:p>
    <w:p>
      <w:r>
        <w:t>Come illustrato da Chip Huyen a pagina 265, i sistemi multi-step aumentano drasticamente i costi e le latenze. Nel nostro caso, il piano gratuito di Groq impone un limite di 100.000 token al giorno. Sebbene sembrino molti, un agente moderno è un "divoratore" di token a causa della sua architettura interna.</w:t>
      </w:r>
    </w:p>
    <w:p>
      <w:pPr>
        <w:pStyle w:val="Heading2"/>
      </w:pPr>
      <w:r>
        <w:t>1.1 Stima dei consumi per singolo turno di chat</w:t>
      </w:r>
    </w:p>
    <w:p>
      <w:r>
        <w:t>Ecco una scomposizione tecnica del consumo medio di token per ogni interazione:</w:t>
      </w:r>
    </w:p>
    <w:p>
      <w:pPr>
        <w:pStyle w:val="ListBullet"/>
      </w:pPr>
      <w:r>
        <w:rPr>
          <w:b/>
        </w:rPr>
        <w:t>Parser Node (Estrazione):</w:t>
      </w:r>
      <w:r>
        <w:t xml:space="preserve"> 200 - 500 token. Analizza il testo per aggiornare il profilo studente.</w:t>
      </w:r>
    </w:p>
    <w:p>
      <w:pPr>
        <w:pStyle w:val="ListBullet"/>
      </w:pPr>
      <w:r>
        <w:rPr>
          <w:b/>
        </w:rPr>
        <w:t>Analyzer Node (Planning):</w:t>
      </w:r>
      <w:r>
        <w:t xml:space="preserve"> 1.000 - 2.000 token. Include il System Prompt, la storia della chat e lo stato del profilo.</w:t>
      </w:r>
    </w:p>
    <w:p>
      <w:pPr>
        <w:pStyle w:val="ListBullet"/>
      </w:pPr>
      <w:r>
        <w:rPr>
          <w:b/>
        </w:rPr>
        <w:t>Tool Node (Search/Scrape):</w:t>
      </w:r>
      <w:r>
        <w:t xml:space="preserve"> 1.000 - 3.000 token. I risultati grezzi della ricerca web e lo scraping dei siti occupano molto spazio nel contesto.</w:t>
      </w:r>
    </w:p>
    <w:p>
      <w:pPr>
        <w:pStyle w:val="ListBullet"/>
      </w:pPr>
      <w:r>
        <w:rPr>
          <w:b/>
        </w:rPr>
        <w:t>Judge Node (Valutazione):</w:t>
      </w:r>
      <w:r>
        <w:t xml:space="preserve"> 800 - 1.200 token. Deve rileggere la domanda e la risposta per validarle.</w:t>
      </w:r>
    </w:p>
    <w:p>
      <w:r>
        <w:t>TOTALE PER TURNO: ~3.000 - 6.000 token.</w:t>
        <w:br/>
        <w:t>Calcolo per la classe: 100.000 (Limite) / 5.000 (Media) = 20 messaggi totali al giorno per TUTTA la classe. Questo spiega perché l'errore 429 (Rate Limit Reached) sia inevitabile senza una strategia di scalabilità.</w:t>
      </w:r>
    </w:p>
    <w:p>
      <w:pPr>
        <w:pStyle w:val="Heading1"/>
      </w:pPr>
      <w:r>
        <w:t>2. Soluzioni Proposte: Backup vs Migrazione</w:t>
      </w:r>
    </w:p>
    <w:p>
      <w:pPr>
        <w:pStyle w:val="Heading2"/>
      </w:pPr>
      <w:r>
        <w:t>2.1 Soluzione A: Gemini come Backup (Hybrid Strategy)</w:t>
      </w:r>
    </w:p>
    <w:p>
      <w:r>
        <w:t>In questa configurazione, Groq rimane il motore primario per la sua velocità LPU. Tuttavia, il software implementa un meccanismo di gestione delle eccezioni. Se il backend riceve un errore 429, commuta automaticamente su Google Gemini. Questo garantisce l'Alta Disponibilità (High Availability) richiesta in un contesto professionale.</w:t>
      </w:r>
    </w:p>
    <w:p>
      <w:pPr>
        <w:pStyle w:val="Heading2"/>
      </w:pPr>
      <w:r>
        <w:t>2.2 Soluzione B: Gemini per Tutto (Full Migration)</w:t>
      </w:r>
    </w:p>
    <w:p>
      <w:r>
        <w:t>Google Gemini 1.5 diventa l'unico fornitore. Questa scelta semplifica l'infrastruttura e permette di sfruttare funzionalità avanzate come la finestra di contesto da 1 milione di token (Huyen, pag. 218) e la capacità nativa di leggere file PDF (CV) o immagini (Diplomi) senza tool esterni (Huyen, pag. 273).</w:t>
      </w:r>
    </w:p>
    <w:p>
      <w:pPr>
        <w:pStyle w:val="Heading1"/>
      </w:pPr>
      <w:r>
        <w:t>3. Analisi Comparativa: Tecnica ed Etica</w:t>
      </w:r>
    </w:p>
    <w:tbl>
      <w:tblPr>
        <w:tblStyle w:val="TableGrid"/>
        <w:tblW w:type="auto" w:w="0"/>
        <w:tblLook w:firstColumn="1" w:firstRow="1" w:lastColumn="0" w:lastRow="0" w:noHBand="0" w:noVBand="1" w:val="04A0"/>
      </w:tblPr>
      <w:tblGrid>
        <w:gridCol w:w="2880"/>
        <w:gridCol w:w="2880"/>
        <w:gridCol w:w="2880"/>
      </w:tblGrid>
      <w:tr>
        <w:tc>
          <w:tcPr>
            <w:tcW w:type="dxa" w:w="2880"/>
          </w:tcPr>
          <w:p>
            <w:r>
              <w:t>Caratteristica</w:t>
            </w:r>
          </w:p>
        </w:tc>
        <w:tc>
          <w:tcPr>
            <w:tcW w:type="dxa" w:w="2880"/>
          </w:tcPr>
          <w:p>
            <w:r>
              <w:t>Groq (Llama 3.3)</w:t>
            </w:r>
          </w:p>
        </w:tc>
        <w:tc>
          <w:tcPr>
            <w:tcW w:type="dxa" w:w="2880"/>
          </w:tcPr>
          <w:p>
            <w:r>
              <w:t>Gemini (1.5 Flash)</w:t>
            </w:r>
          </w:p>
        </w:tc>
      </w:tr>
      <w:tr>
        <w:tc>
          <w:tcPr>
            <w:tcW w:type="dxa" w:w="2880"/>
          </w:tcPr>
          <w:p>
            <w:r>
              <w:t>Quota Giornaliera</w:t>
            </w:r>
          </w:p>
        </w:tc>
        <w:tc>
          <w:tcPr>
            <w:tcW w:type="dxa" w:w="2880"/>
          </w:tcPr>
          <w:p>
            <w:r>
              <w:t>100.000 token (Rigido)</w:t>
            </w:r>
          </w:p>
        </w:tc>
        <w:tc>
          <w:tcPr>
            <w:tcW w:type="dxa" w:w="2880"/>
          </w:tcPr>
          <w:p>
            <w:r>
              <w:t>1.500 richieste (Generoso)</w:t>
            </w:r>
          </w:p>
        </w:tc>
      </w:tr>
      <w:tr>
        <w:tc>
          <w:tcPr>
            <w:tcW w:type="dxa" w:w="2880"/>
          </w:tcPr>
          <w:p>
            <w:r>
              <w:t>Finestra Contesto</w:t>
            </w:r>
          </w:p>
        </w:tc>
        <w:tc>
          <w:tcPr>
            <w:tcW w:type="dxa" w:w="2880"/>
          </w:tcPr>
          <w:p>
            <w:r>
              <w:t>8k - 32k token</w:t>
            </w:r>
          </w:p>
        </w:tc>
        <w:tc>
          <w:tcPr>
            <w:tcW w:type="dxa" w:w="2880"/>
          </w:tcPr>
          <w:p>
            <w:r>
              <w:t>1.000.000+ token</w:t>
            </w:r>
          </w:p>
        </w:tc>
      </w:tr>
      <w:tr>
        <w:tc>
          <w:tcPr>
            <w:tcW w:type="dxa" w:w="2880"/>
          </w:tcPr>
          <w:p>
            <w:r>
              <w:t>Velocità</w:t>
            </w:r>
          </w:p>
        </w:tc>
        <w:tc>
          <w:tcPr>
            <w:tcW w:type="dxa" w:w="2880"/>
          </w:tcPr>
          <w:p>
            <w:r>
              <w:t>Imbattibile (Istante)</w:t>
            </w:r>
          </w:p>
        </w:tc>
        <w:tc>
          <w:tcPr>
            <w:tcW w:type="dxa" w:w="2880"/>
          </w:tcPr>
          <w:p>
            <w:r>
              <w:t>Alta (Molto veloce)</w:t>
            </w:r>
          </w:p>
        </w:tc>
      </w:tr>
      <w:tr>
        <w:tc>
          <w:tcPr>
            <w:tcW w:type="dxa" w:w="2880"/>
          </w:tcPr>
          <w:p>
            <w:r>
              <w:t>Multimodalità</w:t>
            </w:r>
          </w:p>
        </w:tc>
        <w:tc>
          <w:tcPr>
            <w:tcW w:type="dxa" w:w="2880"/>
          </w:tcPr>
          <w:p>
            <w:r>
              <w:t>Solo Testo</w:t>
            </w:r>
          </w:p>
        </w:tc>
        <w:tc>
          <w:tcPr>
            <w:tcW w:type="dxa" w:w="2880"/>
          </w:tcPr>
          <w:p>
            <w:r>
              <w:t>Nativa (PDF, Immagini, Video)</w:t>
            </w:r>
          </w:p>
        </w:tc>
      </w:tr>
      <w:tr>
        <w:tc>
          <w:tcPr>
            <w:tcW w:type="dxa" w:w="2880"/>
          </w:tcPr>
          <w:p>
            <w:r>
              <w:t>Privacy (Piano Free)</w:t>
            </w:r>
          </w:p>
        </w:tc>
        <w:tc>
          <w:tcPr>
            <w:tcW w:type="dxa" w:w="2880"/>
          </w:tcPr>
          <w:p>
            <w:r>
              <w:t>Dati Privati</w:t>
            </w:r>
          </w:p>
        </w:tc>
        <w:tc>
          <w:tcPr>
            <w:tcW w:type="dxa" w:w="2880"/>
          </w:tcPr>
          <w:p>
            <w:r>
              <w:t>Dati usati per Training</w:t>
            </w:r>
          </w:p>
        </w:tc>
      </w:tr>
    </w:tbl>
    <w:p>
      <w:pPr>
        <w:pStyle w:val="Heading2"/>
      </w:pPr>
      <w:r>
        <w:t>3.1 Considerazioni Etiche (Huyen, Cap. 5)</w:t>
      </w:r>
    </w:p>
    <w:p>
      <w:r>
        <w:t>Nell'AI Engineering, la scelta del provider ha impatti legali. Nel piano gratuito di Google AI Studio, i dati possono essere letti da revisori umani per migliorare i modelli. Gli studenti devono essere consapevoli che per gestire dati sensibili è necessario passare ai piani enterprise (Vertex AI) o usare provider come Groq che garantiscono maggiore riservatezza.</w:t>
      </w:r>
    </w:p>
    <w:p>
      <w:pPr>
        <w:pStyle w:val="Heading1"/>
      </w:pPr>
      <w:r>
        <w:t>4. Modifiche al Software: Model Agnosticism</w:t>
      </w:r>
    </w:p>
    <w:p>
      <w:r>
        <w:t>Uno dei vantaggi dell'uso di LangChain è l'astrazione. Le modifiche necessarie per lo switch non sono drammatiche. È sufficiente importare la nuova classe del modello e cambiare la riga di inizializzazione.</w:t>
      </w:r>
    </w:p>
    <w:p>
      <w:pPr>
        <w:pStyle w:val="Quote"/>
      </w:pPr>
      <w:r>
        <w:t>Esempio di modifica:</w:t>
        <w:br/>
        <w:t>Da: llm = ChatGroq(model="llama-3.3-70b")</w:t>
        <w:br/>
        <w:t>A: llm = ChatGoogleGenerativeAI(model="gemini-1.5-flash")</w:t>
      </w:r>
    </w:p>
    <w:p>
      <w:r>
        <w:t>Questa flessibilità permette agli sviluppatori di testare diversi "cervelli" per lo stesso agente senza riscrivere la logica del grafo o dei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