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Yu Gothic" w:hAnsi="Yu Gothic" w:eastAsia="Yu Gothic"/>
          <w:b/>
          <w:sz w:val="32"/>
        </w:rPr>
        <w:t>AIとクリエイティブと教育――生成AI時代の「つくる学び」の再編</w:t>
      </w:r>
    </w:p>
    <w:p>
      <w:pPr>
        <w:spacing w:line="300" w:lineRule="auto" w:after="120"/>
        <w:ind w:firstLine="210"/>
      </w:pPr>
      <w:r>
        <w:rPr>
          <w:rFonts w:ascii="Yu Gothic" w:hAnsi="Yu Gothic" w:eastAsia="Yu Gothic"/>
          <w:sz w:val="21"/>
        </w:rPr>
        <w:t>生成AIの普及は，教育におけるクリエイティブの意味を大きく変えつつある。これまで創作や開発の授業では，文章を書く，映像を編集する，コードを書く，地図を作る，資料を調べるといった個別技能の習熟が，成果物の質を大きく左右してきた。しかし生成AIは，企画案の整理，文章化，画像・映像表現，コード生成，データ分析，発表資料作成までを支援する。したがって教育の焦点は，技能の代替ではなく，「何を問うのか」「どのような価値を社会に届けるのか」「AIの出力をどう検証し，編集するのか」へと移行している。</w:t>
      </w:r>
    </w:p>
    <w:p>
      <w:pPr>
        <w:spacing w:line="300" w:lineRule="auto" w:after="120"/>
        <w:ind w:firstLine="210"/>
      </w:pPr>
      <w:r>
        <w:rPr>
          <w:rFonts w:ascii="Yu Gothic" w:hAnsi="Yu Gothic" w:eastAsia="Yu Gothic"/>
          <w:sz w:val="21"/>
        </w:rPr>
        <w:t>六篇の実践レポートに共通するのは，AIを単なる効率化ツールではなく，学習者の構想力・編集力・批判的思考を拡張する伴走者として位置づけている点である。SFプロトタイピングでは，生成AIによって未来社会のシナリオや物語を短時間で立ち上げ，2050年の空調や東京湾といったテーマを，技術予測ではなく生活世界の想像として扱うことが可能になる。ここで重要なのは，未来を「当てる」ことではなく，ありうる未来を物語化し，現在の選択を問い直すことである。</w:t>
      </w:r>
    </w:p>
    <w:p>
      <w:pPr>
        <w:spacing w:line="300" w:lineRule="auto" w:after="120"/>
        <w:ind w:firstLine="210"/>
      </w:pPr>
      <w:r>
        <w:rPr>
          <w:rFonts w:ascii="Yu Gothic" w:hAnsi="Yu Gothic" w:eastAsia="Yu Gothic"/>
          <w:sz w:val="21"/>
        </w:rPr>
        <w:t>学生ハッカソンの実践は，この変化をもっとも端的に示している。Hack-1グランプリでは，全国の学生がAI時代のものづくりをテーマに，短期間で社会に届けられるプロダクト開発に取り組んだ。Vibe Coding，生成AIを組み込んだアプリ設計，AIと一緒に小さく早く作る方法などが共有され，メンターは技術相談だけでなくプロジェクト管理や意思決定も支援した。2026年のHack-1では「小さくなる日本」をテーマに，30秒ピッチとTouch &amp; Tryを通じて，実装だけでなく見せ方・伝え方までが評価対象となった。生成AIによりスライド，動画，グラフィックの完成度が高まり，クリエイティブ教育は「動くものを作る」段階から「体験として社会に提示する」段階へ進んでいる。</w:t>
      </w:r>
    </w:p>
    <w:p>
      <w:pPr>
        <w:spacing w:line="300" w:lineRule="auto" w:after="120"/>
        <w:ind w:firstLine="210"/>
      </w:pPr>
      <w:r>
        <w:rPr>
          <w:rFonts w:ascii="Yu Gothic" w:hAnsi="Yu Gothic" w:eastAsia="Yu Gothic"/>
          <w:sz w:val="21"/>
        </w:rPr>
        <w:t>デジタルアーカイブや写真カラー化を用いた教育実践では，AIは過去と現在を「再接続」する媒介となる。白黒写真のカラー化は，過去を単に見やすくする処理ではない。学習者が資料を読み，色を推定し，根拠を検討しながら，遠い時代の出来事を自分たちの現在へ引き寄せる過程である。そこでは，AIの生成結果を鵜呑みにせず，史資料，証言，地域の記憶と照合する態度が求められる。デジタルアーカイブ教育も同様に，資料を蓄積する「ストック」と，それを可視化・公開して社会的対話へつなげる「フロー」の往還として捉えられる。</w:t>
      </w:r>
    </w:p>
    <w:p>
      <w:pPr>
        <w:spacing w:line="300" w:lineRule="auto" w:after="120"/>
        <w:ind w:firstLine="210"/>
      </w:pPr>
      <w:r>
        <w:rPr>
          <w:rFonts w:ascii="Yu Gothic" w:hAnsi="Yu Gothic" w:eastAsia="Yu Gothic"/>
          <w:sz w:val="21"/>
        </w:rPr>
        <w:t>デジタルシティズンシップ教育では，AIを使いこなす能力だけでなく，AIとともに公共空間をどう設計するかが問われる。生成AIは，学習者の表現機会を広げる一方で，著作権，個人情報，バイアス，偽情報，責任の所在といった問題も伴う。UNESCOのAIコンピテンシー枠組みは，学生をAIの受動的利用者ではなく，責任ある利用者・共同設計者として育てる必要を示している。またメディア・情報リテラシー教育は，AI，デジタルシティズンシップ，偽情報への対応と結びつけて再構成されている。</w:t>
      </w:r>
    </w:p>
    <w:p>
      <w:pPr>
        <w:spacing w:line="300" w:lineRule="auto" w:after="120"/>
        <w:ind w:firstLine="210"/>
      </w:pPr>
      <w:r>
        <w:rPr>
          <w:rFonts w:ascii="Yu Gothic" w:hAnsi="Yu Gothic" w:eastAsia="Yu Gothic"/>
          <w:sz w:val="21"/>
        </w:rPr>
        <w:t>AIと情報可視化・OSINT教育の実践では，生成AIは観察結果を言語化し，複数の解釈可能性を比較し，推論の飛躍を指摘する「対話的な編集者」として機能する。学生はAIS，衛星画像，公開報道，SNS上の専門的知見を組み合わせ，不確実な情報を検証する過程を学ぶ。Bellingcatのオンライン調査ツールキットが示すように，現代の情報調査は，地図，衛星画像，画像・動画検証，ウェブアーカイブなどを組み合わせる総合的実践である。ここでもAIは結論を代行する存在ではなく，人間の観察，照合，判断，説明を支える道具である。</w:t>
      </w:r>
    </w:p>
    <w:p>
      <w:pPr>
        <w:spacing w:line="300" w:lineRule="auto" w:after="120"/>
        <w:ind w:firstLine="210"/>
      </w:pPr>
      <w:r>
        <w:rPr>
          <w:rFonts w:ascii="Yu Gothic" w:hAnsi="Yu Gothic" w:eastAsia="Yu Gothic"/>
          <w:sz w:val="21"/>
        </w:rPr>
        <w:t>以上を総括すれば，「AIとクリエイティブと教育」の核心は，AIによって人間の創造性が不要になることではなく，創造性の重心が上流へ移ることにある。実装や表現のハードルが下がるほど，問いの設定，資料の読解，倫理的判断，ユーザー理解，社会的価値への接続が重要になる。AI時代の教育は，AIに任せる教育ではない。AIとともに素早く形にし，人間が批判的に検証し，社会に向けて責任ある表現へと編集する教育である。</w:t>
      </w:r>
    </w:p>
    <w:p>
      <w:pPr>
        <w:spacing w:before="200"/>
      </w:pPr>
      <w:r>
        <w:rPr>
          <w:rFonts w:ascii="Yu Gothic" w:hAnsi="Yu Gothic" w:eastAsia="Yu Gothic"/>
          <w:b/>
          <w:sz w:val="24"/>
        </w:rPr>
        <w:t>参考文献・関連資料</w:t>
      </w:r>
    </w:p>
    <w:p>
      <w:pPr>
        <w:ind w:left="240" w:hanging="240"/>
      </w:pPr>
      <w:r>
        <w:rPr>
          <w:rFonts w:ascii="Yu Gothic" w:hAnsi="Yu Gothic" w:eastAsia="Yu Gothic"/>
          <w:sz w:val="19"/>
        </w:rPr>
        <w:t xml:space="preserve">1. UNESCO, AI Competency Framework for Students, 2024. </w:t>
      </w:r>
      <w:hyperlink r:id="rId9">
        <w:r>
          <w:rPr>
            <w:color w:val="0563C1"/>
            <w:u w:val="single"/>
            <w:rFonts w:eastAsia="Yu Gothic" w:ascii="Yu Gothic"/>
          </w:rPr>
          <w:t>https://www.unesco.org/en/articles/ai-competency-framework-students</w:t>
        </w:r>
      </w:hyperlink>
    </w:p>
    <w:p>
      <w:pPr>
        <w:ind w:left="240" w:hanging="240"/>
      </w:pPr>
      <w:r>
        <w:rPr>
          <w:rFonts w:ascii="Yu Gothic" w:hAnsi="Yu Gothic" w:eastAsia="Yu Gothic"/>
          <w:sz w:val="19"/>
        </w:rPr>
        <w:t xml:space="preserve">2. UNESCO, Media and Information Literacy Curriculum for Teachers and Learners. </w:t>
      </w:r>
      <w:hyperlink r:id="rId10">
        <w:r>
          <w:rPr>
            <w:color w:val="0563C1"/>
            <w:u w:val="single"/>
            <w:rFonts w:eastAsia="Yu Gothic" w:ascii="Yu Gothic"/>
          </w:rPr>
          <w:t>https://www.unesco.org/mil4teachers/en/curriculum</w:t>
        </w:r>
      </w:hyperlink>
    </w:p>
    <w:p>
      <w:pPr>
        <w:ind w:left="240" w:hanging="240"/>
      </w:pPr>
      <w:r>
        <w:rPr>
          <w:rFonts w:ascii="Yu Gothic" w:hAnsi="Yu Gothic" w:eastAsia="Yu Gothic"/>
          <w:sz w:val="19"/>
        </w:rPr>
        <w:t xml:space="preserve">3. UNESCO, Media and Information Literacy. </w:t>
      </w:r>
      <w:hyperlink r:id="rId11">
        <w:r>
          <w:rPr>
            <w:color w:val="0563C1"/>
            <w:u w:val="single"/>
            <w:rFonts w:eastAsia="Yu Gothic" w:ascii="Yu Gothic"/>
          </w:rPr>
          <w:t>https://www.unesco.org/en/media-information-literacy</w:t>
        </w:r>
      </w:hyperlink>
    </w:p>
    <w:p>
      <w:pPr>
        <w:ind w:left="240" w:hanging="240"/>
      </w:pPr>
      <w:r>
        <w:rPr>
          <w:rFonts w:ascii="Yu Gothic" w:hAnsi="Yu Gothic" w:eastAsia="Yu Gothic"/>
          <w:sz w:val="19"/>
        </w:rPr>
        <w:t xml:space="preserve">4. Bellingcat, Online Open Source Investigation Toolkit. </w:t>
      </w:r>
      <w:hyperlink r:id="rId12">
        <w:r>
          <w:rPr>
            <w:color w:val="0563C1"/>
            <w:u w:val="single"/>
            <w:rFonts w:eastAsia="Yu Gothic" w:ascii="Yu Gothic"/>
          </w:rPr>
          <w:t>https://bellingcat.gitbook.io/toolkit</w:t>
        </w:r>
      </w:hyperlink>
    </w:p>
    <w:p>
      <w:pPr>
        <w:ind w:left="240" w:hanging="240"/>
      </w:pPr>
      <w:r>
        <w:rPr>
          <w:rFonts w:ascii="Yu Gothic" w:hAnsi="Yu Gothic" w:eastAsia="Yu Gothic"/>
          <w:sz w:val="19"/>
        </w:rPr>
        <w:t xml:space="preserve">5. GitHub Blog, Research: quantifying GitHub Copilot’s impact on developer productivity and happiness, 2022. </w:t>
      </w:r>
      <w:hyperlink r:id="rId13">
        <w:r>
          <w:rPr>
            <w:color w:val="0563C1"/>
            <w:u w:val="single"/>
            <w:rFonts w:eastAsia="Yu Gothic" w:ascii="Yu Gothic"/>
          </w:rPr>
          <w:t>https://github.blog/news-insights/research/research-quantifying-github-copilots-impact-on-developer-productivity-and-happiness/</w:t>
        </w:r>
      </w:hyperlink>
    </w:p>
    <w:p>
      <w:pPr>
        <w:ind w:left="240" w:hanging="240"/>
      </w:pPr>
      <w:r>
        <w:rPr>
          <w:rFonts w:ascii="Yu Gothic" w:hAnsi="Yu Gothic" w:eastAsia="Yu Gothic"/>
          <w:sz w:val="19"/>
        </w:rPr>
        <w:t xml:space="preserve">6. 東京大学大学院情報学環・学際情報学府「Hack-1グランプリ2025」開催レポート。 </w:t>
      </w:r>
      <w:hyperlink r:id="rId14">
        <w:r>
          <w:rPr>
            <w:color w:val="0563C1"/>
            <w:u w:val="single"/>
            <w:rFonts w:eastAsia="Yu Gothic" w:ascii="Yu Gothic"/>
          </w:rPr>
          <w:t>https://www.iii.u-tokyo.ac.jp/research/20250725report</w:t>
        </w:r>
      </w:hyperlink>
    </w:p>
    <w:p>
      <w:pPr>
        <w:ind w:left="240" w:hanging="240"/>
      </w:pPr>
      <w:r>
        <w:rPr>
          <w:rFonts w:ascii="Yu Gothic" w:hAnsi="Yu Gothic" w:eastAsia="Yu Gothic"/>
          <w:sz w:val="19"/>
        </w:rPr>
        <w:t xml:space="preserve">7. 日テレ共創ラボ「日テレ クリエイティブメディアハッカソン開催レポート」。 </w:t>
      </w:r>
      <w:hyperlink r:id="rId15">
        <w:r>
          <w:rPr>
            <w:color w:val="0563C1"/>
            <w:u w:val="single"/>
            <w:rFonts w:eastAsia="Yu Gothic" w:ascii="Yu Gothic"/>
          </w:rPr>
          <w:t>https://lab.ntvhd.co.jp/topics/2026/04/post-24.html</w:t>
        </w:r>
      </w:hyperlink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unesco.org/en/articles/ai-competency-framework-students" TargetMode="External"/><Relationship Id="rId10" Type="http://schemas.openxmlformats.org/officeDocument/2006/relationships/hyperlink" Target="https://www.unesco.org/mil4teachers/en/curriculum" TargetMode="External"/><Relationship Id="rId11" Type="http://schemas.openxmlformats.org/officeDocument/2006/relationships/hyperlink" Target="https://www.unesco.org/en/media-information-literacy" TargetMode="External"/><Relationship Id="rId12" Type="http://schemas.openxmlformats.org/officeDocument/2006/relationships/hyperlink" Target="https://bellingcat.gitbook.io/toolkit" TargetMode="External"/><Relationship Id="rId13" Type="http://schemas.openxmlformats.org/officeDocument/2006/relationships/hyperlink" Target="https://github.blog/news-insights/research/research-quantifying-github-copilots-impact-on-developer-productivity-and-happiness/" TargetMode="External"/><Relationship Id="rId14" Type="http://schemas.openxmlformats.org/officeDocument/2006/relationships/hyperlink" Target="https://www.iii.u-tokyo.ac.jp/research/20250725report" TargetMode="External"/><Relationship Id="rId15" Type="http://schemas.openxmlformats.org/officeDocument/2006/relationships/hyperlink" Target="https://lab.ntvhd.co.jp/topics/2026/04/post-2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AIとクリエイティブと教育――生成AI時代の「つくる学び」の再編</dc:title>
  <dc:subject>AIとクリエイティブと教育に関する総括レポート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