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pPr>
      <w:r w:rsidDel="00000000" w:rsidR="00000000" w:rsidRPr="00000000">
        <w:rPr>
          <w:b w:val="1"/>
          <w:bCs w:val="1"/>
          <w:sz w:val="32"/>
          <w:szCs w:val="32"/>
          <w:rtl w:val="0"/>
        </w:rPr>
        <w:t xml:space="preserve">AIを活かしたデジタルシティズンシップ教育</w:t>
      </w:r>
      <w:r w:rsidDel="00000000" w:rsidR="00000000" w:rsidRPr="00000000">
        <w:rPr>
          <w:rtl w:val="0"/>
        </w:rPr>
      </w:r>
    </w:p>
    <w:p w:rsidR="00000000" w:rsidDel="00000000" w:rsidP="00000000" w:rsidRDefault="00000000" w:rsidRPr="00000000" w14:paraId="00000002">
      <w:pPr>
        <w:spacing w:line="360" w:lineRule="auto"/>
        <w:jc w:val="center"/>
        <w:rPr/>
      </w:pPr>
      <w:r w:rsidDel="00000000" w:rsidR="00000000" w:rsidRPr="00000000">
        <w:rPr>
          <w:sz w:val="22"/>
          <w:szCs w:val="22"/>
          <w:rtl w:val="0"/>
        </w:rPr>
        <w:t xml:space="preserve">――「使わせない」教育から，「ともに考え，社会に参加する」教育へ</w:t>
      </w:r>
      <w:r w:rsidDel="00000000" w:rsidR="00000000" w:rsidRPr="00000000">
        <w:rPr>
          <w:rtl w:val="0"/>
        </w:rPr>
      </w:r>
    </w:p>
    <w:p w:rsidR="00000000" w:rsidDel="00000000" w:rsidP="00000000" w:rsidRDefault="00000000" w:rsidRPr="00000000" w14:paraId="00000003">
      <w:pPr>
        <w:spacing w:line="360" w:lineRule="auto"/>
        <w:ind w:firstLine="210"/>
        <w:rPr/>
      </w:pPr>
      <w:r w:rsidDel="00000000" w:rsidR="00000000" w:rsidRPr="00000000">
        <w:rPr>
          <w:rtl w:val="0"/>
        </w:rPr>
        <w:t xml:space="preserve">デジタルシティズンシップ教育は，ICT機器の操作方法を教える教育にとどまらない。デジタル社会において，自ら情報を収集・判断・発信し，他者と協働しながら責任ある市民として参加する力を育てる教育である。</w:t>
      </w:r>
      <w:r w:rsidDel="00000000" w:rsidR="00000000" w:rsidRPr="00000000">
        <w:rPr>
          <w:rFonts w:ascii="MS Mincho" w:cs="MS Mincho" w:eastAsia="MS Mincho" w:hAnsi="MS Mincho"/>
          <w:rtl w:val="0"/>
        </w:rPr>
        <w:t xml:space="preserve">筆者の</w:t>
      </w:r>
      <w:r w:rsidDel="00000000" w:rsidR="00000000" w:rsidRPr="00000000">
        <w:rPr>
          <w:rtl w:val="0"/>
        </w:rPr>
        <w:t xml:space="preserve">デジタルシティズンシップ教育実践では，情報リテラシー，メディアリテラシー，情報モラル，情報活用能力が区別され，情報活用能力は，情報を主体的に収集・整理・判断・発信し，問題解決や新たな価値創造に活用する力として整理されている。ここから見えてくるのは，AI時代の教育を「危険な技術から子どもを遠ざける」ものではなく，「技術がある社会でどう判断し，どう参加するか」を学ぶ教育として再定義する視点である。</w:t>
      </w:r>
    </w:p>
    <w:p w:rsidR="00000000" w:rsidDel="00000000" w:rsidP="00000000" w:rsidRDefault="00000000" w:rsidRPr="00000000" w14:paraId="00000004">
      <w:pPr>
        <w:spacing w:line="360" w:lineRule="auto"/>
        <w:ind w:firstLine="210"/>
        <w:rPr/>
      </w:pPr>
      <w:r w:rsidDel="00000000" w:rsidR="00000000" w:rsidRPr="00000000">
        <w:rPr>
          <w:rtl w:val="0"/>
        </w:rPr>
        <w:t xml:space="preserve">従来の学校教育では，端末利用やSNS利用をめぐって，いじめ，不適切投稿，課金，個人情報流出などのリスクを避けるため，禁止や制限を中心とする管理型の指導が行われやすかった。しかし原田氏の講義資料は，こうした「禁止」中心の発想から，デジタルツールを社会をより良くする道具として活用する方向への転換を課題として示している。理想は，児童生徒が自律的に時間を管理し，情報を吟味し，適切に発信する力を身につけることである。これは，デジタル空間を現実社会から切り離された特殊な場所として扱うのではなく，権利，責任，倫理，公共性が交差する生活世界として捉える教育である。</w:t>
      </w:r>
    </w:p>
    <w:p w:rsidR="00000000" w:rsidDel="00000000" w:rsidP="00000000" w:rsidRDefault="00000000" w:rsidRPr="00000000" w14:paraId="00000005">
      <w:pPr>
        <w:spacing w:line="360" w:lineRule="auto"/>
        <w:ind w:firstLine="210"/>
        <w:rPr/>
      </w:pPr>
      <w:r w:rsidDel="00000000" w:rsidR="00000000" w:rsidRPr="00000000">
        <w:rPr>
          <w:rtl w:val="0"/>
        </w:rPr>
        <w:t xml:space="preserve">生成AIの普及は，この転換をさらに重要にしている。AIは，文章作成，画像生成，要約，翻訳，プログラミング，調査補助などを可能にする一方，ハルシネーション，著作権，個人情報，バイアス，依存，責任の所在といった新たな課題を生む。したがって，AIを禁止するだけでは不十分である。むしろ，AIの出力を疑い，根拠を確認し，自分の判断として再構成する訓練が必要になる。AIは「答えを出す機械」ではなく，問いを深めるための対話相手として位置づけられるべきである。</w:t>
      </w:r>
    </w:p>
    <w:p w:rsidR="00000000" w:rsidDel="00000000" w:rsidP="00000000" w:rsidRDefault="00000000" w:rsidRPr="00000000" w14:paraId="00000006">
      <w:pPr>
        <w:spacing w:line="360" w:lineRule="auto"/>
        <w:ind w:firstLine="210"/>
        <w:rPr/>
      </w:pPr>
      <w:r w:rsidDel="00000000" w:rsidR="00000000" w:rsidRPr="00000000">
        <w:rPr>
          <w:rtl w:val="0"/>
        </w:rPr>
        <w:t xml:space="preserve">国際的にも，AIリテラシーとデジタルシティズンシップは結びつけて論じられている。UNESCOのAI Competency Framework for Studentsは，児童生徒がAIを安全かつ意味ある形で扱うため，AIの仕組み，倫理，人間中心性，AIシステム設計を含む能力を育成する必要を示している。ISTE Standards for Studentsも，変化する技術環境のなかで，学習者の主体性を高め，デジタル市民として安全・倫理的にふるまう力を重視している。さらにOECD Digital Education Outlook 2026は，生成AIを学習の代替ではなく，明確な教育原理に導かれた学習支援として設計する必要を論じている。</w:t>
      </w:r>
    </w:p>
    <w:p w:rsidR="00000000" w:rsidDel="00000000" w:rsidP="00000000" w:rsidRDefault="00000000" w:rsidRPr="00000000" w14:paraId="00000007">
      <w:pPr>
        <w:spacing w:line="360" w:lineRule="auto"/>
        <w:ind w:firstLine="210"/>
        <w:rPr/>
      </w:pPr>
      <w:r w:rsidDel="00000000" w:rsidR="00000000" w:rsidRPr="00000000">
        <w:rPr>
          <w:rtl w:val="0"/>
        </w:rPr>
        <w:t xml:space="preserve">AIを活かしたデジタルシティズンシップ教育の中核は，第一に，情報環境を読む力である。SNS，ビッグデータ，ターゲティング広告，フィルターバブル，エコーチェンバー，確証バイアス，ディープフェイク，アテンションエコノミーなどを理解し，情報が自分に「自然に届いている」のではなく，アルゴリズムや経済的動機によって選別されていることを学ぶ必要がある。原田氏の授業では，情報を受け取る前，拡散する前に立ち止まり，情報源や表示の仕組みを確認する態度が重視されている。</w:t>
      </w:r>
    </w:p>
    <w:p w:rsidR="00000000" w:rsidDel="00000000" w:rsidP="00000000" w:rsidRDefault="00000000" w:rsidRPr="00000000" w14:paraId="00000008">
      <w:pPr>
        <w:spacing w:line="360" w:lineRule="auto"/>
        <w:ind w:firstLine="210"/>
        <w:rPr/>
      </w:pPr>
      <w:r w:rsidDel="00000000" w:rsidR="00000000" w:rsidRPr="00000000">
        <w:rPr>
          <w:rtl w:val="0"/>
        </w:rPr>
        <w:t xml:space="preserve">第二に，AIと対話しながら思考を深める力である。AIに答えを出させるのではなく，問いを立て，複数の仮説を比較し，出典を確認し，誤りや偏りを発見する。たとえばレポート作成にAIを使う場合でも，プロンプト，出力，修正過程，利用後の感想を記録させることで，学習者はAI利用を不可視の補助ではなく，検証可能な思考過程として扱うことができる。これは，不正利用の防止にとどまらず，AI時代の学習過程そのものを可視化する方法である。</w:t>
      </w:r>
    </w:p>
    <w:p w:rsidR="00000000" w:rsidDel="00000000" w:rsidP="00000000" w:rsidRDefault="00000000" w:rsidRPr="00000000" w14:paraId="00000009">
      <w:pPr>
        <w:spacing w:line="360" w:lineRule="auto"/>
        <w:ind w:firstLine="210"/>
        <w:rPr/>
      </w:pPr>
      <w:r w:rsidDel="00000000" w:rsidR="00000000" w:rsidRPr="00000000">
        <w:rPr>
          <w:rtl w:val="0"/>
        </w:rPr>
        <w:t xml:space="preserve">第三に，成果を社会へ表出する力である。文章，動画，地図，可視化，プレゼンテーションなどを通じて，自分の考えを公共的に発信し，他者からの応答を受けて再編集する経験が重要になる。この点で，</w:t>
      </w:r>
      <w:r w:rsidDel="00000000" w:rsidR="00000000" w:rsidRPr="00000000">
        <w:rPr>
          <w:rFonts w:ascii="MS Mincho" w:cs="MS Mincho" w:eastAsia="MS Mincho" w:hAnsi="MS Mincho"/>
          <w:rtl w:val="0"/>
        </w:rPr>
        <w:t xml:space="preserve">筆者らの提唱する</w:t>
      </w:r>
      <w:r w:rsidDel="00000000" w:rsidR="00000000" w:rsidRPr="00000000">
        <w:rPr>
          <w:rtl w:val="0"/>
        </w:rPr>
        <w:t xml:space="preserve">「知識体験モデル」は有効な枠組みである。同モデルは，AIの支援のもとで「自己」「他者」「コンテンツ」が相互作用し，「獲得・享受・再編集・共有・表出」の循環を通じて知識を構成するものとされる。RAG，マイクロコンテンツ化，階層的要約，読書プラン生成，文末コラム生成といった実装は，AIを単なる自動生成装置ではなく，知識の信頼性を確認しながら，学習者の再編集と共有を支える環境として位置づけている。</w:t>
      </w:r>
    </w:p>
    <w:p w:rsidR="00000000" w:rsidDel="00000000" w:rsidP="00000000" w:rsidRDefault="00000000" w:rsidRPr="00000000" w14:paraId="0000000A">
      <w:pPr>
        <w:spacing w:line="360" w:lineRule="auto"/>
        <w:ind w:firstLine="210"/>
        <w:rPr/>
      </w:pPr>
      <w:r w:rsidDel="00000000" w:rsidR="00000000" w:rsidRPr="00000000">
        <w:rPr>
          <w:rtl w:val="0"/>
        </w:rPr>
        <w:t xml:space="preserve">したがって，AIを活かしたデジタルシティズンシップ教育とは，「AIを使ってよいか，悪いか」を問う教育ではない。それは，AIを使うことで，自分の判断がどのように変わるのか，他者や社会にどのような影響を与えるのかを考える教育である。AI時代に必要なのは，技術を正しく恐れる力と，同時に，技術を公共的価値の創出に結びつける力である。デジタルシティズンシップ教育は，情報モラルの内向きの規範教育を超え，AIとともに考え，表現し，社会に参加する市民を育てる教育へと発展していくべきである。</w:t>
      </w:r>
    </w:p>
    <w:p w:rsidR="00000000" w:rsidDel="00000000" w:rsidP="00000000" w:rsidRDefault="00000000" w:rsidRPr="00000000" w14:paraId="0000000B">
      <w:pPr>
        <w:pStyle w:val="Heading1"/>
        <w:spacing w:line="360" w:lineRule="auto"/>
        <w:rPr/>
      </w:pPr>
      <w:r w:rsidDel="00000000" w:rsidR="00000000" w:rsidRPr="00000000">
        <w:rPr>
          <w:rtl w:val="0"/>
        </w:rPr>
        <w:t xml:space="preserve">参考文献・関連資料</w:t>
      </w:r>
    </w:p>
    <w:p w:rsidR="00000000" w:rsidDel="00000000" w:rsidP="00000000" w:rsidRDefault="00000000" w:rsidRPr="00000000" w14:paraId="0000000C">
      <w:pPr>
        <w:spacing w:line="360" w:lineRule="auto"/>
        <w:ind w:left="210" w:hanging="210"/>
        <w:rPr/>
      </w:pPr>
      <w:r w:rsidDel="00000000" w:rsidR="00000000" w:rsidRPr="00000000">
        <w:rPr>
          <w:rtl w:val="0"/>
        </w:rPr>
        <w:t xml:space="preserve">・原田真喜子「デジタルシティズンシップ入門」講義資料。</w:t>
      </w:r>
    </w:p>
    <w:p w:rsidR="00000000" w:rsidDel="00000000" w:rsidP="00000000" w:rsidRDefault="00000000" w:rsidRPr="00000000" w14:paraId="0000000D">
      <w:pPr>
        <w:spacing w:line="360" w:lineRule="auto"/>
        <w:ind w:left="210" w:hanging="210"/>
        <w:rPr/>
      </w:pPr>
      <w:r w:rsidDel="00000000" w:rsidR="00000000" w:rsidRPr="00000000">
        <w:rPr>
          <w:rtl w:val="0"/>
        </w:rPr>
        <w:t xml:space="preserve">・原田真喜子「知識体験モデルにおけるAI協働の可能性と課題の検討――RAG・マイクロコンテンツ・コラム生成を用いたプロトタイプの構築」。</w:t>
      </w:r>
    </w:p>
    <w:p w:rsidR="00000000" w:rsidDel="00000000" w:rsidP="00000000" w:rsidRDefault="00000000" w:rsidRPr="00000000" w14:paraId="0000000E">
      <w:pPr>
        <w:spacing w:line="360" w:lineRule="auto"/>
        <w:ind w:left="210" w:hanging="210"/>
        <w:rPr/>
      </w:pPr>
      <w:r w:rsidDel="00000000" w:rsidR="00000000" w:rsidRPr="00000000">
        <w:rPr>
          <w:rtl w:val="0"/>
        </w:rPr>
        <w:t xml:space="preserve">・吉野敦「日本のデジタル・シティズンシップ教育の受容状況における情報モラル教育・道徳科の位置づけについての一考察」2023年。</w:t>
      </w:r>
    </w:p>
    <w:p w:rsidR="00000000" w:rsidDel="00000000" w:rsidP="00000000" w:rsidRDefault="00000000" w:rsidRPr="00000000" w14:paraId="0000000F">
      <w:pPr>
        <w:spacing w:line="360" w:lineRule="auto"/>
        <w:ind w:left="210" w:hanging="210"/>
        <w:rPr/>
      </w:pPr>
      <w:r w:rsidDel="00000000" w:rsidR="00000000" w:rsidRPr="00000000">
        <w:rPr>
          <w:rtl w:val="0"/>
        </w:rPr>
        <w:t xml:space="preserve">・UNESCO, AI Competency Framework for Students, 2024. https://www.unesco.org/en/articles/ai-competency-framework-students</w:t>
      </w:r>
    </w:p>
    <w:p w:rsidR="00000000" w:rsidDel="00000000" w:rsidP="00000000" w:rsidRDefault="00000000" w:rsidRPr="00000000" w14:paraId="00000010">
      <w:pPr>
        <w:spacing w:line="360" w:lineRule="auto"/>
        <w:ind w:left="210" w:hanging="210"/>
        <w:rPr/>
      </w:pPr>
      <w:r w:rsidDel="00000000" w:rsidR="00000000" w:rsidRPr="00000000">
        <w:rPr>
          <w:rtl w:val="0"/>
        </w:rPr>
        <w:t xml:space="preserve">・UNESCO, Media and Information Literacy Curriculum for Teachers and Learners. https://www.unesco.org/en/media-information-literacy</w:t>
      </w:r>
    </w:p>
    <w:p w:rsidR="00000000" w:rsidDel="00000000" w:rsidP="00000000" w:rsidRDefault="00000000" w:rsidRPr="00000000" w14:paraId="00000011">
      <w:pPr>
        <w:spacing w:line="360" w:lineRule="auto"/>
        <w:ind w:left="210" w:hanging="210"/>
        <w:rPr/>
      </w:pPr>
      <w:r w:rsidDel="00000000" w:rsidR="00000000" w:rsidRPr="00000000">
        <w:rPr>
          <w:rtl w:val="0"/>
        </w:rPr>
        <w:t xml:space="preserve">・ISTE, ISTE Standards: For Students. https://iste.org/standards/students</w:t>
      </w:r>
    </w:p>
    <w:p w:rsidR="00000000" w:rsidDel="00000000" w:rsidP="00000000" w:rsidRDefault="00000000" w:rsidRPr="00000000" w14:paraId="00000012">
      <w:pPr>
        <w:spacing w:line="360" w:lineRule="auto"/>
        <w:ind w:left="210" w:hanging="210"/>
        <w:rPr/>
      </w:pPr>
      <w:r w:rsidDel="00000000" w:rsidR="00000000" w:rsidRPr="00000000">
        <w:rPr>
          <w:rtl w:val="0"/>
        </w:rPr>
        <w:t xml:space="preserve">・OECD, OECD Digital Education Outlook 2026: Exploring Effective Uses of Generative AI in Education, 2026. https://doi.org/10.1787/062a7394-en</w:t>
      </w:r>
    </w:p>
    <w:sectPr>
      <w:footerReference r:id="rId7" w:type="default"/>
      <w:pgSz w:h="15840" w:w="12240" w:orient="portrait"/>
      <w:pgMar w:bottom="1152" w:top="1152"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MS Mincho"/>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Noto Sans" w:cs="Noto Sans" w:eastAsia="Noto Sans" w:hAnsi="Noto Sans"/>
        <w:b w:val="0"/>
        <w:bCs w:val="0"/>
        <w:i w:val="0"/>
        <w:iCs w:val="0"/>
        <w:smallCaps w:val="0"/>
        <w:strike w:val="0"/>
        <w:color w:val="000000"/>
        <w:sz w:val="21"/>
        <w:szCs w:val="2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000000"/>
        <w:sz w:val="16"/>
        <w:szCs w:val="16"/>
        <w:u w:val="none"/>
        <w:shd w:fill="auto" w:val="clear"/>
        <w:vertAlign w:val="baseline"/>
        <w:rtl w:val="0"/>
      </w:rPr>
      <w:t xml:space="preserve">AIを活かしたデジタルシティズンシップ教育</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oto Sans" w:cs="Noto Sans" w:eastAsia="Noto Sans" w:hAnsi="Noto Sans"/>
        <w:sz w:val="21"/>
        <w:szCs w:val="21"/>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6"/>
      <w:szCs w:val="26"/>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2"/>
      <w:szCs w:val="2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b w:val="1"/>
      <w:bCs w:val="1"/>
      <w:color w:val="17365d"/>
      <w:sz w:val="32"/>
      <w:szCs w:val="3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hxKLyIb0DGBZxMfnaTdBerJlPQ==">CgMxLjA4AHIhMVpFeGtVRVdfY2hyQ2NRN3pIaG9palpmMEJkc1RTX1dJ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