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맑은 고딕" w:hAnsi="맑은 고딕" w:eastAsia="맑은 고딕"/>
          <w:b/>
          <w:color w:val="1F4E79"/>
          <w:sz w:val="44"/>
        </w:rPr>
        <w:t>WorkBridge 서비스 기획서</w:t>
      </w:r>
    </w:p>
    <w:p>
      <w:pPr>
        <w:spacing w:after="40"/>
      </w:pPr>
      <w:r>
        <w:rPr>
          <w:rFonts w:ascii="맑은 고딕" w:hAnsi="맑은 고딕" w:eastAsia="맑은 고딕"/>
          <w:b/>
          <w:sz w:val="24"/>
        </w:rPr>
        <w:t>의뢰자가 외주를 두려워하지 않게 만드는 AI 매니저 기반 외주 매칭 플랫폼</w:t>
      </w:r>
    </w:p>
    <w:p>
      <w:pPr>
        <w:spacing w:after="200"/>
      </w:pPr>
      <w:r>
        <w:rPr>
          <w:rFonts w:ascii="맑은 고딕" w:hAnsi="맑은 고딕" w:eastAsia="맑은 고딕"/>
          <w:b w:val="0"/>
          <w:color w:val="777777"/>
          <w:sz w:val="19"/>
        </w:rPr>
        <w:t>작성: Ryu  |  2026. 06. 10.</w:t>
      </w:r>
    </w:p>
    <w:p>
      <w:pPr>
        <w:spacing w:before="320" w:after="140"/>
        <w:pBdr>
          <w:bottom w:val="single" w:sz="8" w:space="2" w:color="1F4E79"/>
        </w:pBdr>
      </w:pPr>
      <w:r>
        <w:rPr>
          <w:rFonts w:ascii="맑은 고딕" w:hAnsi="맑은 고딕" w:eastAsia="맑은 고딕"/>
          <w:b/>
          <w:color w:val="1F4E79"/>
          <w:sz w:val="29"/>
        </w:rPr>
        <w:t>1. 핵심 컨셉 — 사람 매니저 없이, 매니저급 경험을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1"/>
        </w:rPr>
        <w:t>프리모아 등 기존 중개형 플랫폼은 사람 매니저(PM)를 중간에 두어 의뢰자를 보호한다. 효과는 있지만 인건비가 견적에 그대로 얹혀 의뢰 비용이 비싸진다. WorkBridge는 그 매니저 역할을 AI가 대신한다. 사람 매니저의 가치(기술 번역·범위 관리·진행 보고)는 유지하고, 비용 구조에서 인건비를 들어내 합리적인 가격으로 같은 안심을 제공한다.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2041"/>
            <w:shd w:val="clear" w:fill="1F4E79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구분</w:t>
            </w:r>
          </w:p>
        </w:tc>
        <w:tc>
          <w:tcPr>
            <w:tcW w:type="dxa" w:w="3288"/>
            <w:shd w:val="clear" w:fill="1F4E79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프리모아 (사람 매니저)</w:t>
            </w:r>
          </w:p>
        </w:tc>
        <w:tc>
          <w:tcPr>
            <w:tcW w:type="dxa" w:w="4082"/>
            <w:shd w:val="clear" w:fill="1F4E79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WorkBridge (AI 매니저)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기술 ↔ 일상어 번역</w:t>
            </w:r>
          </w:p>
        </w:tc>
        <w:tc>
          <w:tcPr>
            <w:tcW w:type="dxa" w:w="3288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매니저가 구두·문서로 중개</w:t>
            </w:r>
          </w:p>
        </w:tc>
        <w:tc>
          <w:tcPr>
            <w:tcW w:type="dxa" w:w="4082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AI가 실시간 번역·요약 — 의뢰자는 전문용어를 몰라도 됨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요구사항 정리</w:t>
            </w:r>
          </w:p>
        </w:tc>
        <w:tc>
          <w:tcPr>
            <w:tcW w:type="dxa" w:w="3288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매니저 미팅 후 명세 작성</w:t>
            </w:r>
          </w:p>
        </w:tc>
        <w:tc>
          <w:tcPr>
            <w:tcW w:type="dxa" w:w="4082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AI 인터뷰로 즉시 명세화 + 검수 체크리스트 자동 생성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진행 관리</w:t>
            </w:r>
          </w:p>
        </w:tc>
        <w:tc>
          <w:tcPr>
            <w:tcW w:type="dxa" w:w="3288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매니저가 주기적으로 전달</w:t>
            </w:r>
          </w:p>
        </w:tc>
        <w:tc>
          <w:tcPr>
            <w:tcW w:type="dxa" w:w="4082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AI가 진행상황을 쉬운 말로 상시 브리핑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비용 구조</w:t>
            </w:r>
          </w:p>
        </w:tc>
        <w:tc>
          <w:tcPr>
            <w:tcW w:type="dxa" w:w="3288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매니저 인건비 → 높은 견적</w:t>
            </w:r>
          </w:p>
        </w:tc>
        <w:tc>
          <w:tcPr>
            <w:tcW w:type="dxa" w:w="4082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AI 운영비 → 낮은 수수료, 견적 거품 제거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가용성</w:t>
            </w:r>
          </w:p>
        </w:tc>
        <w:tc>
          <w:tcPr>
            <w:tcW w:type="dxa" w:w="3288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업무 시간, 담당자 역량 편차</w:t>
            </w:r>
          </w:p>
        </w:tc>
        <w:tc>
          <w:tcPr>
            <w:tcW w:type="dxa" w:w="4082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24시간, 모든 프로젝트에 동일 품질</w:t>
            </w:r>
          </w:p>
        </w:tc>
      </w:tr>
    </w:tbl>
    <w:p>
      <w:pPr>
        <w:spacing w:after="40"/>
      </w:pPr>
    </w:p>
    <w:p>
      <w:pPr>
        <w:spacing w:before="320" w:after="140"/>
        <w:pBdr>
          <w:bottom w:val="single" w:sz="8" w:space="2" w:color="1F4E79"/>
        </w:pBdr>
      </w:pPr>
      <w:r>
        <w:rPr>
          <w:rFonts w:ascii="맑은 고딕" w:hAnsi="맑은 고딕" w:eastAsia="맑은 고딕"/>
          <w:b/>
          <w:color w:val="1F4E79"/>
          <w:sz w:val="29"/>
        </w:rPr>
        <w:t>2. 문제 정의 — 의뢰자는 왜 외주를 두려워하는가</w:t>
      </w:r>
    </w:p>
    <w:p>
      <w:pPr>
        <w:spacing w:before="180" w:after="80"/>
      </w:pPr>
      <w:r>
        <w:rPr>
          <w:rFonts w:ascii="맑은 고딕" w:hAnsi="맑은 고딕" w:eastAsia="맑은 고딕"/>
          <w:b/>
          <w:sz w:val="23"/>
        </w:rPr>
        <w:t>2.1 의뢰자의 3대 불안</w:t>
      </w:r>
    </w:p>
    <w:p>
      <w:pPr>
        <w:pStyle w:val="ListBullet"/>
        <w:spacing w:after="60"/>
      </w:pPr>
      <w:r>
        <w:rPr>
          <w:rFonts w:ascii="맑은 고딕" w:hAnsi="맑은 고딕" w:eastAsia="맑은 고딕"/>
          <w:b w:val="0"/>
          <w:sz w:val="21"/>
        </w:rPr>
        <w:t>말이 안 통한다: 개발자의 기술 언어를 이해할 수 없어 무엇이 되고 안 되는지, 왜 오래 걸리는지 판단 불가 — 정보 비대칭 상태로 계약</w:t>
      </w:r>
    </w:p>
    <w:p>
      <w:pPr>
        <w:pStyle w:val="ListBullet"/>
        <w:spacing w:after="60"/>
      </w:pPr>
      <w:r>
        <w:rPr>
          <w:rFonts w:ascii="맑은 고딕" w:hAnsi="맑은 고딕" w:eastAsia="맑은 고딕"/>
          <w:b w:val="0"/>
          <w:sz w:val="21"/>
        </w:rPr>
        <w:t>가격을 믿을 수 없다: 견적 후 “해보니 추가 작업이 필요하다”며 금액이 불어남 — 최종 비용 예측 불가</w:t>
      </w:r>
    </w:p>
    <w:p>
      <w:pPr>
        <w:pStyle w:val="ListBullet"/>
        <w:spacing w:after="60"/>
      </w:pPr>
      <w:r>
        <w:rPr>
          <w:rFonts w:ascii="맑은 고딕" w:hAnsi="맑은 고딕" w:eastAsia="맑은 고딕"/>
          <w:b w:val="0"/>
          <w:sz w:val="21"/>
        </w:rPr>
        <w:t>결과물을 보장받지 못한다: 돈은 먼저 나갔는데 결과물이 처음 요구와 다를 때 구제 수단이 없음</w:t>
      </w:r>
    </w:p>
    <w:p>
      <w:pPr>
        <w:spacing w:before="180" w:after="80"/>
      </w:pPr>
      <w:r>
        <w:rPr>
          <w:rFonts w:ascii="맑은 고딕" w:hAnsi="맑은 고딕" w:eastAsia="맑은 고딕"/>
          <w:b/>
          <w:sz w:val="23"/>
        </w:rPr>
        <w:t>2.2 기존 해법의 한계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1"/>
        </w:rPr>
        <w:t>사람 매니저를 두는 방식(프리모아)은 세 불안을 일부 해소하지만 의뢰 비용을 끌어올리고, 매니저 개인 역량에 품질이 좌우된다. 마켓형(크몽)·입찰형(위시켓)은 비용은 낮지만 세 불안을 의뢰자 스스로 감당해야 한다. 결국 의뢰자는 “비싸고 안전하거나, 싸고 불안하거나” 둘 중 하나를 강요받는다.</w:t>
      </w:r>
    </w:p>
    <w:p>
      <w:pPr>
        <w:spacing w:before="320" w:after="140"/>
        <w:pBdr>
          <w:bottom w:val="single" w:sz="8" w:space="2" w:color="1F4E79"/>
        </w:pBdr>
      </w:pPr>
      <w:r>
        <w:rPr>
          <w:rFonts w:ascii="맑은 고딕" w:hAnsi="맑은 고딕" w:eastAsia="맑은 고딕"/>
          <w:b/>
          <w:color w:val="1F4E79"/>
          <w:sz w:val="29"/>
        </w:rPr>
        <w:t>3. 솔루션 — 의뢰자를 위한 3가지 약속</w:t>
      </w:r>
    </w:p>
    <w:p>
      <w:pPr>
        <w:spacing w:before="180" w:after="80"/>
      </w:pPr>
      <w:r>
        <w:rPr>
          <w:rFonts w:ascii="맑은 고딕" w:hAnsi="맑은 고딕" w:eastAsia="맑은 고딕"/>
          <w:b/>
          <w:sz w:val="23"/>
        </w:rPr>
        <w:t>약속 ① AI 매니저: 전문용어 없이 외주한다</w:t>
      </w:r>
    </w:p>
    <w:p>
      <w:pPr>
        <w:pStyle w:val="ListBullet"/>
        <w:spacing w:after="60"/>
      </w:pPr>
      <w:r>
        <w:rPr>
          <w:rFonts w:ascii="맑은 고딕" w:hAnsi="맑은 고딕" w:eastAsia="맑은 고딕"/>
          <w:b w:val="0"/>
          <w:sz w:val="21"/>
        </w:rPr>
        <w:t>의뢰자는 일상 언어로 원하는 것을 설명 → AI 매니저가 기술 요구사항으로 번역하고, 빠진 요건을 인터뷰로 보완</w:t>
      </w:r>
    </w:p>
    <w:p>
      <w:pPr>
        <w:pStyle w:val="ListBullet"/>
        <w:spacing w:after="60"/>
      </w:pPr>
      <w:r>
        <w:rPr>
          <w:rFonts w:ascii="맑은 고딕" w:hAnsi="맑은 고딕" w:eastAsia="맑은 고딕"/>
          <w:b w:val="0"/>
          <w:sz w:val="21"/>
        </w:rPr>
        <w:t>개발 진행상황·산출물을 의뢰자 눈높이의 언어로 브리핑 (“API 연동 완료” → “이제 회원가입이 실제로 작동합니다”)</w:t>
      </w:r>
    </w:p>
    <w:p>
      <w:pPr>
        <w:pStyle w:val="ListBullet"/>
        <w:spacing w:after="60"/>
      </w:pPr>
      <w:r>
        <w:rPr>
          <w:rFonts w:ascii="맑은 고딕" w:hAnsi="맑은 고딕" w:eastAsia="맑은 고딕"/>
          <w:b w:val="0"/>
          <w:sz w:val="21"/>
        </w:rPr>
        <w:t>확정된 요구사항은 검수 체크리스트로 문서화 — 이후 가격·검수·환불의 공통 기준이 됨</w:t>
      </w:r>
    </w:p>
    <w:p>
      <w:pPr>
        <w:spacing w:before="180" w:after="80"/>
      </w:pPr>
      <w:r>
        <w:rPr>
          <w:rFonts w:ascii="맑은 고딕" w:hAnsi="맑은 고딕" w:eastAsia="맑은 고딕"/>
          <w:b/>
          <w:sz w:val="23"/>
        </w:rPr>
        <w:t>약속 ② 선금액 공개 · 후불제: 시작 전에 확정된 금액, 변동 없음</w:t>
      </w:r>
    </w:p>
    <w:p>
      <w:pPr>
        <w:pStyle w:val="ListBullet"/>
        <w:spacing w:after="60"/>
      </w:pPr>
      <w:r>
        <w:rPr>
          <w:rFonts w:ascii="맑은 고딕" w:hAnsi="맑은 고딕" w:eastAsia="맑은 고딕"/>
          <w:b w:val="0"/>
          <w:sz w:val="21"/>
        </w:rPr>
        <w:t>착수 전 총액을 공개·확정하고 이후 절대 변동 없음 — “추가금” 없는 구조</w:t>
      </w:r>
    </w:p>
    <w:p>
      <w:pPr>
        <w:pStyle w:val="ListBullet"/>
        <w:spacing w:after="60"/>
      </w:pPr>
      <w:r>
        <w:rPr>
          <w:rFonts w:ascii="맑은 고딕" w:hAnsi="맑은 고딕" w:eastAsia="맑은 고딕"/>
          <w:b w:val="0"/>
          <w:sz w:val="21"/>
        </w:rPr>
        <w:t>결제는 결과물 검수 후 — 의뢰자는 확인한 뒤에만 지불</w:t>
      </w:r>
    </w:p>
    <w:p>
      <w:pPr>
        <w:pStyle w:val="ListBullet"/>
        <w:spacing w:after="60"/>
      </w:pPr>
      <w:r>
        <w:rPr>
          <w:rFonts w:ascii="맑은 고딕" w:hAnsi="맑은 고딕" w:eastAsia="맑은 고딕"/>
          <w:b w:val="0"/>
          <w:sz w:val="21"/>
        </w:rPr>
        <w:t>의뢰 금액은 착수 시 플랫폼에 예치(에스크로)되어 개발자에게는 지급 보증, 의뢰자에게는 검수 전 지급 차단을 동시에 제공</w:t>
      </w:r>
    </w:p>
    <w:p>
      <w:pPr>
        <w:spacing w:before="180" w:after="80"/>
      </w:pPr>
      <w:r>
        <w:rPr>
          <w:rFonts w:ascii="맑은 고딕" w:hAnsi="맑은 고딕" w:eastAsia="맑은 고딕"/>
          <w:b/>
          <w:sz w:val="23"/>
        </w:rPr>
        <w:t>약속 ③ Satisfactory Meter: 약속한 만큼 안 되면, 전액 환불</w:t>
      </w:r>
    </w:p>
    <w:p>
      <w:pPr>
        <w:pStyle w:val="ListBullet"/>
        <w:spacing w:after="60"/>
      </w:pPr>
      <w:r>
        <w:rPr>
          <w:rFonts w:ascii="맑은 고딕" w:hAnsi="맑은 고딕" w:eastAsia="맑은 고딕"/>
          <w:b w:val="0"/>
          <w:sz w:val="21"/>
        </w:rPr>
        <w:t>최초 합의한 검수 체크리스트 기준으로 결과물 충족도를 측정</w:t>
      </w:r>
    </w:p>
    <w:p>
      <w:pPr>
        <w:pStyle w:val="ListBullet"/>
        <w:spacing w:after="60"/>
      </w:pPr>
      <w:r>
        <w:rPr>
          <w:rFonts w:ascii="맑은 고딕" w:hAnsi="맑은 고딕" w:eastAsia="맑은 고딕"/>
          <w:b w:val="0"/>
          <w:sz w:val="21"/>
        </w:rPr>
        <w:t>전 항목 충족 → 확정 금액 결제 / 부분 미달 → 무상 보완 후 재검수 / 기준 미달 → 전액 환불</w:t>
      </w:r>
    </w:p>
    <w:p>
      <w:pPr>
        <w:pStyle w:val="ListBullet"/>
        <w:spacing w:after="60"/>
      </w:pPr>
      <w:r>
        <w:rPr>
          <w:rFonts w:ascii="맑은 고딕" w:hAnsi="맑은 고딕" w:eastAsia="맑은 고딕"/>
          <w:b w:val="0"/>
          <w:sz w:val="21"/>
        </w:rPr>
        <w:t>평가 기준이 ‘기분’이 아니라 ‘착수 전 합의 문서’이므로 의뢰자·개발자 모두에게 공정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5940000" cy="2732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fl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73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4500000" cy="252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met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25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320" w:after="140"/>
        <w:pBdr>
          <w:bottom w:val="single" w:sz="8" w:space="2" w:color="1F4E79"/>
        </w:pBdr>
      </w:pPr>
      <w:r>
        <w:rPr>
          <w:rFonts w:ascii="맑은 고딕" w:hAnsi="맑은 고딕" w:eastAsia="맑은 고딕"/>
          <w:b/>
          <w:color w:val="1F4E79"/>
          <w:sz w:val="29"/>
        </w:rPr>
        <w:t>4. 경쟁 분석과 포지셔닝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474"/>
            <w:shd w:val="clear" w:fill="1F4E79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플랫폼</w:t>
            </w:r>
          </w:p>
        </w:tc>
        <w:tc>
          <w:tcPr>
            <w:tcW w:type="dxa" w:w="2608"/>
            <w:shd w:val="clear" w:fill="1F4E79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방식</w:t>
            </w:r>
          </w:p>
        </w:tc>
        <w:tc>
          <w:tcPr>
            <w:tcW w:type="dxa" w:w="5329"/>
            <w:shd w:val="clear" w:fill="1F4E79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의뢰자 관점 한계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프리모아</w:t>
            </w:r>
          </w:p>
        </w:tc>
        <w:tc>
          <w:tcPr>
            <w:tcW w:type="dxa" w:w="2608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사람 매니저 중개</w:t>
            </w:r>
          </w:p>
        </w:tc>
        <w:tc>
          <w:tcPr>
            <w:tcW w:type="dxa" w:w="5329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안심되지만 비싸다 — 매니저 인건비가 견적에 포함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크몽</w:t>
            </w:r>
          </w:p>
        </w:tc>
        <w:tc>
          <w:tcPr>
            <w:tcW w:type="dxa" w:w="2608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재능 상품 구매</w:t>
            </w:r>
          </w:p>
        </w:tc>
        <w:tc>
          <w:tcPr>
            <w:tcW w:type="dxa" w:w="5329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싸지만 검증·관리·환불을 의뢰자가 직접 감당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위시켓</w:t>
            </w:r>
          </w:p>
        </w:tc>
        <w:tc>
          <w:tcPr>
            <w:tcW w:type="dxa" w:w="2608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프로젝트 입찰 + 매니저 검증</w:t>
            </w:r>
          </w:p>
        </w:tc>
        <w:tc>
          <w:tcPr>
            <w:tcW w:type="dxa" w:w="5329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IT 전문 의뢰자 위주, 공급자 수수료 20~25%가 견적에 전가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숨고</w:t>
            </w:r>
          </w:p>
        </w:tc>
        <w:tc>
          <w:tcPr>
            <w:tcW w:type="dxa" w:w="2608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견적 요청</w:t>
            </w:r>
          </w:p>
        </w:tc>
        <w:tc>
          <w:tcPr>
            <w:tcW w:type="dxa" w:w="5329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생활 서비스 중심, 프로젝트 관리 기능 부재</w:t>
            </w:r>
          </w:p>
        </w:tc>
      </w:tr>
    </w:tbl>
    <w:p>
      <w:pPr>
        <w:spacing w:after="40"/>
      </w:pP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5040000" cy="3465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positioning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46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맑은 고딕" w:hAnsi="맑은 고딕" w:eastAsia="맑은 고딕"/>
          <w:b w:val="0"/>
          <w:sz w:val="21"/>
        </w:rPr>
        <w:t>WorkBridge의 자리는 좌상단 — 프리모아 수준의 관리·신뢰를 크몽 수준의 비용으로. 이 조합은 사람 매니저 구조로는 불가능하고, AI 매니저 구조에서만 성립한다.</w:t>
      </w:r>
    </w:p>
    <w:p>
      <w:pPr>
        <w:spacing w:before="320" w:after="140"/>
        <w:pBdr>
          <w:bottom w:val="single" w:sz="8" w:space="2" w:color="1F4E79"/>
        </w:pBdr>
      </w:pPr>
      <w:r>
        <w:rPr>
          <w:rFonts w:ascii="맑은 고딕" w:hAnsi="맑은 고딕" w:eastAsia="맑은 고딕"/>
          <w:b/>
          <w:color w:val="1F4E79"/>
          <w:sz w:val="29"/>
        </w:rPr>
        <w:t>5. 시장 환경 — 공급은 충분하다, 승부처는 의뢰자다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5760000" cy="256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marke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5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  <w:spacing w:after="60"/>
      </w:pPr>
      <w:r>
        <w:rPr>
          <w:rFonts w:ascii="맑은 고딕" w:hAnsi="맑은 고딕" w:eastAsia="맑은 고딕"/>
          <w:b w:val="0"/>
          <w:sz w:val="21"/>
        </w:rPr>
        <w:t>AI 코딩 도구 확산으로 개발 생산성이 급상승하고 진입 장벽이 낮아져 프리랜서·N잡 개발자 공급이 빠르게 늘고 있다 — 공급 확보는 더 이상 플랫폼의 핵심 난제가 아니다</w:t>
      </w:r>
    </w:p>
    <w:p>
      <w:pPr>
        <w:pStyle w:val="ListBullet"/>
        <w:spacing w:after="60"/>
      </w:pPr>
      <w:r>
        <w:rPr>
          <w:rFonts w:ascii="맑은 고딕" w:hAnsi="맑은 고딕" w:eastAsia="맑은 고딕"/>
          <w:b w:val="0"/>
          <w:sz w:val="21"/>
        </w:rPr>
        <w:t>반면 비전문가 의뢰자(소상공인·초기 창업가)의 외주 수요는 잠재된 채 막혀 있다 — 두려움이 거래를 막는 병목</w:t>
      </w:r>
    </w:p>
    <w:p>
      <w:pPr>
        <w:pStyle w:val="ListBullet"/>
        <w:spacing w:after="60"/>
      </w:pPr>
      <w:r>
        <w:rPr>
          <w:rFonts w:ascii="맑은 고딕" w:hAnsi="맑은 고딕" w:eastAsia="맑은 고딕"/>
          <w:b w:val="0"/>
          <w:sz w:val="21"/>
        </w:rPr>
        <w:t>국내 비임금 노동자 800만 명 돌파, 크몽 연 40~50% 성장 등 시장 자체는 고성장 — 의뢰자 신뢰 문제를 푸는 쪽이 잠긴 수요를 연다</w:t>
      </w:r>
    </w:p>
    <w:p>
      <w:pPr>
        <w:spacing w:after="120"/>
      </w:pPr>
      <w:r>
        <w:rPr>
          <w:rFonts w:ascii="맑은 고딕" w:hAnsi="맑은 고딕" w:eastAsia="맑은 고딕"/>
          <w:b/>
          <w:sz w:val="21"/>
        </w:rPr>
        <w:t>따라서 WorkBridge는 자원의 대부분을 의뢰자 경험에 투자한다. 의뢰자가 모이면 공급자는 따라온다.</w:t>
      </w:r>
    </w:p>
    <w:p>
      <w:pPr>
        <w:spacing w:before="320" w:after="140"/>
        <w:pBdr>
          <w:bottom w:val="single" w:sz="8" w:space="2" w:color="1F4E79"/>
        </w:pBdr>
      </w:pPr>
      <w:r>
        <w:rPr>
          <w:rFonts w:ascii="맑은 고딕" w:hAnsi="맑은 고딕" w:eastAsia="맑은 고딕"/>
          <w:b/>
          <w:color w:val="1F4E79"/>
          <w:sz w:val="29"/>
        </w:rPr>
        <w:t>6. 타겟 의뢰자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2041"/>
            <w:shd w:val="clear" w:fill="1F4E79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페르소나</w:t>
            </w:r>
          </w:p>
        </w:tc>
        <w:tc>
          <w:tcPr>
            <w:tcW w:type="dxa" w:w="3288"/>
            <w:shd w:val="clear" w:fill="1F4E79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상황</w:t>
            </w:r>
          </w:p>
        </w:tc>
        <w:tc>
          <w:tcPr>
            <w:tcW w:type="dxa" w:w="4082"/>
            <w:shd w:val="clear" w:fill="1F4E79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WorkBridge가 주는 것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초기 창업가 김대표(34)</w:t>
            </w:r>
          </w:p>
        </w:tc>
        <w:tc>
          <w:tcPr>
            <w:tcW w:type="dxa" w:w="3288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앱 MVP가 필요하지만 개발을 모르고, 한 번 외주 사기를 경험</w:t>
            </w:r>
          </w:p>
        </w:tc>
        <w:tc>
          <w:tcPr>
            <w:tcW w:type="dxa" w:w="4082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AI 매니저가 요구사항을 대신 정리, 고정가·후불·환불 보장으로 리스크 제로 착수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소상공인 박사장(47)</w:t>
            </w:r>
          </w:p>
        </w:tc>
        <w:tc>
          <w:tcPr>
            <w:tcW w:type="dxa" w:w="3288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예약 페이지·키오스크 연동이 필요, 견적 비교 자체가 불가능</w:t>
            </w:r>
          </w:p>
        </w:tc>
        <w:tc>
          <w:tcPr>
            <w:tcW w:type="dxa" w:w="4082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일상 언어 의뢰 + 착수 전 확정가로 ‘아는 만큼만 결제’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비IT 기업 실무자 최대리(31)</w:t>
            </w:r>
          </w:p>
        </w:tc>
        <w:tc>
          <w:tcPr>
            <w:tcW w:type="dxa" w:w="3288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사내 툴 개발을 외주로 처리해야 하나 기술 검수 역량 없음</w:t>
            </w:r>
          </w:p>
        </w:tc>
        <w:tc>
          <w:tcPr>
            <w:tcW w:type="dxa" w:w="4082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체크리스트 기반 검수 — 기술을 몰라도 객관적 검수 가능</w:t>
            </w:r>
          </w:p>
        </w:tc>
      </w:tr>
    </w:tbl>
    <w:p>
      <w:pPr>
        <w:spacing w:after="40"/>
      </w:pPr>
    </w:p>
    <w:p>
      <w:pPr>
        <w:spacing w:before="320" w:after="140"/>
        <w:pBdr>
          <w:bottom w:val="single" w:sz="8" w:space="2" w:color="1F4E79"/>
        </w:pBdr>
      </w:pPr>
      <w:r>
        <w:rPr>
          <w:rFonts w:ascii="맑은 고딕" w:hAnsi="맑은 고딕" w:eastAsia="맑은 고딕"/>
          <w:b/>
          <w:color w:val="1F4E79"/>
          <w:sz w:val="29"/>
        </w:rPr>
        <w:t>7. 수익 모델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928"/>
            <w:shd w:val="clear" w:fill="1F4E79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수익원</w:t>
            </w:r>
          </w:p>
        </w:tc>
        <w:tc>
          <w:tcPr>
            <w:tcW w:type="dxa" w:w="5443"/>
            <w:shd w:val="clear" w:fill="1F4E79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구조</w:t>
            </w:r>
          </w:p>
        </w:tc>
        <w:tc>
          <w:tcPr>
            <w:tcW w:type="dxa" w:w="1701"/>
            <w:shd w:val="clear" w:fill="1F4E79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도입 시점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거래 수수료</w:t>
            </w:r>
          </w:p>
        </w:tc>
        <w:tc>
          <w:tcPr>
            <w:tcW w:type="dxa" w:w="5443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거래액의 10% 내외 — 사람 매니저가 없는 비용 구조라 중개형(프리모아·위시켓 20%+) 대비 절반으로도 마진 확보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MVP부터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AI 매니저 프리미엄</w:t>
            </w:r>
          </w:p>
        </w:tc>
        <w:tc>
          <w:tcPr>
            <w:tcW w:type="dxa" w:w="5443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다중 프로젝트 관리, 정기 유지보수 브리핑 등 고급 관리 기능 구독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성장기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기업 플랜</w:t>
            </w:r>
          </w:p>
        </w:tc>
        <w:tc>
          <w:tcPr>
            <w:tcW w:type="dxa" w:w="5443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반복 외주 기업 대상 전담 관리·일괄 정산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확장기</w:t>
            </w:r>
          </w:p>
        </w:tc>
      </w:tr>
    </w:tbl>
    <w:p>
      <w:pPr>
        <w:spacing w:after="40"/>
      </w:pPr>
    </w:p>
    <w:p>
      <w:pPr>
        <w:spacing w:before="320" w:after="140"/>
        <w:pBdr>
          <w:bottom w:val="single" w:sz="8" w:space="2" w:color="1F4E79"/>
        </w:pBdr>
      </w:pPr>
      <w:r>
        <w:rPr>
          <w:rFonts w:ascii="맑은 고딕" w:hAnsi="맑은 고딕" w:eastAsia="맑은 고딕"/>
          <w:b/>
          <w:color w:val="1F4E79"/>
          <w:sz w:val="29"/>
        </w:rPr>
        <w:t>8. 정책 리스크와 대응 설계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3061"/>
            <w:shd w:val="clear" w:fill="1F4E79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리스크</w:t>
            </w:r>
          </w:p>
        </w:tc>
        <w:tc>
          <w:tcPr>
            <w:tcW w:type="dxa" w:w="6350"/>
            <w:shd w:val="clear" w:fill="1F4E79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대응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후불제 미수금 (검수 후 잠적)</w:t>
            </w:r>
          </w:p>
        </w:tc>
        <w:tc>
          <w:tcPr>
            <w:tcW w:type="dxa" w:w="635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착수 시 결제수단 등록 + 금액 에스크로 예치 — ‘후불’은 지급 시점의 약속이지 외상이 아님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전액 환불 악용 (결과물만 취하고 환불)</w:t>
            </w:r>
          </w:p>
        </w:tc>
        <w:tc>
          <w:tcPr>
            <w:tcW w:type="dxa" w:w="635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환불 시 산출물 사용권 미이전, 체크리스트 충족 판정은 합의 문서 기반 — 주관적 불만족은 환불 사유 아님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개발자 이탈 (환불 부담 회피)</w:t>
            </w:r>
          </w:p>
        </w:tc>
        <w:tc>
          <w:tcPr>
            <w:tcW w:type="dxa" w:w="635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착수 전 명세 확정으로 범위 분쟁 차단, 부분 미달 시 보완 기회 우선 제공, 성실 완수 이력은 평판·수수료 우대로 보상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AI 명세 오류</w:t>
            </w:r>
          </w:p>
        </w:tc>
        <w:tc>
          <w:tcPr>
            <w:tcW w:type="dxa" w:w="635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명세·체크리스트는 착수 전 양측 확인·서명 절차를 거침 — AI는 초안, 확정은 사람</w:t>
            </w:r>
          </w:p>
        </w:tc>
      </w:tr>
    </w:tbl>
    <w:p>
      <w:pPr>
        <w:spacing w:after="40"/>
      </w:pPr>
    </w:p>
    <w:p>
      <w:pPr>
        <w:spacing w:before="320" w:after="140"/>
        <w:pBdr>
          <w:bottom w:val="single" w:sz="8" w:space="2" w:color="1F4E79"/>
        </w:pBdr>
      </w:pPr>
      <w:r>
        <w:rPr>
          <w:rFonts w:ascii="맑은 고딕" w:hAnsi="맑은 고딕" w:eastAsia="맑은 고딕"/>
          <w:b/>
          <w:color w:val="1F4E79"/>
          <w:sz w:val="29"/>
        </w:rPr>
        <w:t>9. 로드맵과 핵심 지표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1020"/>
            <w:shd w:val="clear" w:fill="1F4E79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단계</w:t>
            </w:r>
          </w:p>
        </w:tc>
        <w:tc>
          <w:tcPr>
            <w:tcW w:type="dxa" w:w="1247"/>
            <w:shd w:val="clear" w:fill="1F4E79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기간</w:t>
            </w:r>
          </w:p>
        </w:tc>
        <w:tc>
          <w:tcPr>
            <w:tcW w:type="dxa" w:w="4876"/>
            <w:shd w:val="clear" w:fill="1F4E79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핵심 목표</w:t>
            </w:r>
          </w:p>
        </w:tc>
        <w:tc>
          <w:tcPr>
            <w:tcW w:type="dxa" w:w="2268"/>
            <w:shd w:val="clear" w:fill="1F4E79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북극성 지표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MVP</w:t>
            </w:r>
          </w:p>
        </w:tc>
        <w:tc>
          <w:tcPr>
            <w:tcW w:type="dxa" w:w="1247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~2개월</w:t>
            </w:r>
          </w:p>
        </w:tc>
        <w:tc>
          <w:tcPr>
            <w:tcW w:type="dxa" w:w="4876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AI 명세화 → 고정가 → 매칭 → 검수·후불 결제 한 사이클 완성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월 완료 거래 건수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v1.1</w:t>
            </w:r>
          </w:p>
        </w:tc>
        <w:tc>
          <w:tcPr>
            <w:tcW w:type="dxa" w:w="1247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3~6개월</w:t>
            </w:r>
          </w:p>
        </w:tc>
        <w:tc>
          <w:tcPr>
            <w:tcW w:type="dxa" w:w="4876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Satisfactory Meter 고도화, 마일스톤 분할 검수, 분쟁 프로세스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환불률 5% 이하 유지 + 재거래율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v2.0</w:t>
            </w:r>
          </w:p>
        </w:tc>
        <w:tc>
          <w:tcPr>
            <w:tcW w:type="dxa" w:w="1247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6~12개월</w:t>
            </w:r>
          </w:p>
        </w:tc>
        <w:tc>
          <w:tcPr>
            <w:tcW w:type="dxa" w:w="4876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카테고리 확장(디자인·콘텐츠), 기업 플랜, 구독 수익화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월 거래액(GMV)</w:t>
            </w:r>
          </w:p>
        </w:tc>
      </w:tr>
    </w:tbl>
    <w:p>
      <w:pPr>
        <w:spacing w:after="40"/>
      </w:pPr>
    </w:p>
    <w:p>
      <w:pPr>
        <w:spacing w:before="320" w:after="140"/>
        <w:pBdr>
          <w:bottom w:val="single" w:sz="8" w:space="2" w:color="1F4E79"/>
        </w:pBdr>
      </w:pPr>
      <w:r>
        <w:rPr>
          <w:rFonts w:ascii="맑은 고딕" w:hAnsi="맑은 고딕" w:eastAsia="맑은 고딕"/>
          <w:b/>
          <w:color w:val="1F4E79"/>
          <w:sz w:val="29"/>
        </w:rPr>
        <w:t>10. 기술 구현 개요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1"/>
        </w:rPr>
        <w:t>풀스택 JavaScript(React + Node.js + PostgreSQL) 단일 스택으로 MVP를 구축하고, OAuth(소셜 로그인)·PG(에스크로 결제)·LLM API(AI 매니저)를 Open API로 연동한다. AI 매니저는 LLM의 구조화된 응답(JSON 스키마)으로 요구사항 명세와 체크리스트를 생성하며, 상세 설계는 별도 기술 문서로 분리한다.</w:t>
      </w:r>
    </w:p>
    <w:sectPr w:rsidR="00FC693F" w:rsidRPr="0006063C" w:rsidSect="00034616"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