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36"/>
        </w:rPr>
        <w:t>发票信息汇总（演示）</w:t>
      </w:r>
    </w:p>
    <w:p>
      <w:pPr>
        <w:jc w:val="center"/>
      </w:pPr>
      <w:r>
        <w:rPr>
          <w:rFonts w:ascii="Calibri" w:hAnsi="Calibri" w:eastAsia="Microsoft YaHei"/>
          <w:b/>
          <w:sz w:val="18"/>
        </w:rPr>
        <w:t>本材料为比赛合成案卷，名称、人员、金额和事实均属虚构，不对应任何真实主体或案件。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销售方：浙江丙午零部件（演示）有限公司；购买方：宁波丁未机械（演示）有限公司。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2026年1月15日开具增值税发票，价税合计150000.00元。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本文件仅记录开票线索，不单独证明交付或欠款。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合成案卷</dc:subject>
  <dc:creator>sale-payment-preflight synthetic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