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b/>
          <w:i w:val="0"/>
          <w:color w:val="2E74B5"/>
          <w:sz w:val="20"/>
        </w:rPr>
        <w:t>通用法律实务 Skill｜平台中立｜合成案卷演示</w:t>
      </w:r>
    </w:p>
    <w:p>
      <w:pPr>
        <w:spacing w:after="80"/>
      </w:pPr>
      <w:r>
        <w:rPr>
          <w:rFonts w:ascii="Calibri" w:hAnsi="Calibri" w:eastAsia="Microsoft YaHei"/>
          <w:b/>
          <w:i w:val="0"/>
          <w:color w:val="0B2545"/>
          <w:sz w:val="50"/>
        </w:rPr>
        <w:t>企业买卖合同货款追索</w:t>
        <w:br/>
        <w:t>诉前案卷体检 Skill</w:t>
      </w:r>
    </w:p>
    <w:p>
      <w:r>
        <w:rPr>
          <w:rFonts w:ascii="Calibri" w:hAnsi="Calibri" w:eastAsia="Microsoft YaHei"/>
          <w:b w:val="0"/>
          <w:i w:val="0"/>
          <w:color w:val="667085"/>
          <w:sz w:val="26"/>
        </w:rPr>
        <w:t>sale-payment-preflight｜参赛作品技术说明书</w:t>
      </w:r>
    </w:p>
    <w:p>
      <w:pPr>
        <w:spacing w:before="80" w:after="160"/>
        <w:ind w:left="173"/>
        <w:shd w:fill="F4F6F9"/>
        <w:pBdr>
          <w:left w:val="single" w:sz="16" w:color="2E74B5" w:space="6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>结论：作品已形成可运行 Skill 包、三套完整合成案卷、固定格式输出及自动验收；适合按“法律专业价值 + 合规安全”双主线申报。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2300"/>
        <w:gridCol w:w="7060"/>
      </w:tblGrid>
      <w:tr>
        <w:trPr>
          <w:cantSplit/>
        </w:trPr>
        <w:tc>
          <w:tcPr>
            <w:tcW w:type="dxa" w:w="23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申报赛道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通用法律实务 Skill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适用场景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境内 B2B 货物买卖中卖方追索未付货款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版本 / 核验日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v1.0 / 2026-08-12</w:t>
            </w:r>
          </w:p>
        </w:tc>
      </w:tr>
      <w:tr>
        <w:trPr>
          <w:cantSplit/>
        </w:trPr>
        <w:tc>
          <w:tcPr>
            <w:tcW w:type="dxa" w:w="2300"/>
            <w:shd w:fill="F2F4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作品状态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技术验收与 4 分钟演示已完成；律师规则确认、两轮盲测与第二智能体实跑待完成</w:t>
            </w:r>
          </w:p>
        </w:tc>
      </w:tr>
    </w:tbl>
    <w:p>
      <w:r>
        <w:br w:type="page"/>
      </w:r>
    </w:p>
    <w:p>
      <w:pPr>
        <w:pStyle w:val="Heading1"/>
      </w:pPr>
      <w:r>
        <w:t>1. 作品定位与边界</w:t>
      </w:r>
    </w:p>
    <w:p>
      <w:r>
        <w:rPr>
          <w:rFonts w:ascii="Calibri" w:hAnsi="Calibri" w:eastAsia="Microsoft YaHei"/>
          <w:b w:val="0"/>
          <w:i w:val="0"/>
          <w:sz w:val="21"/>
        </w:rPr>
        <w:t>本 Skill 将合同、订单、送货、签收、发票、对账、付款和往来材料整理为可追溯证据链，并输出履约时间轴、要件—证据矩阵、货款复算和补证建议。所有结论均标注为“律师复核前草稿”。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500"/>
        <w:gridCol w:w="4000"/>
        <w:gridCol w:w="38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维度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纳入 v1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明确排除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主体/地域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境内企业间交易，卖方追款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跨境、消费、破产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交易形态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书面或无书面合同、分批交付、部分付款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建工、担保、复杂质量反诉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金额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已确认 CNY 应收/付款/退货/折让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多币种、利息、违约金、诉讼费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文件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文本型 PDF、DOCX、XLSX、CSV、TXT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扫描件只登记并提示 OCR/人工处理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法律判断</w:t>
            </w:r>
          </w:p>
        </w:tc>
        <w:tc>
          <w:tcPr>
            <w:tcW w:type="dxa" w:w="4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呈现事实线索、缺证和矛盾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胜诉率、最终时效/管辖/仲裁结论</w:t>
            </w:r>
          </w:p>
        </w:tc>
      </w:tr>
    </w:tbl>
    <w:p>
      <w:pPr>
        <w:pStyle w:val="Heading1"/>
      </w:pPr>
      <w:r>
        <w:t>2. 固定工作流与交付接口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sz w:val="21"/>
        </w:rPr>
        <w:t>只读建立文件清单、SHA-256 和材料编号，前后复核原件未变。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sz w:val="21"/>
        </w:rPr>
        <w:t>离线提取主体、合同、交付、验收、开票、付款、催告等事实，保留材料编号与页码/工作表/行号。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sz w:val="21"/>
        </w:rPr>
        <w:t>形成履约时间轴，并按已确认 CNY 流水精确复算未付本金。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sz w:val="21"/>
        </w:rPr>
        <w:t>按 14 条律师规则矩阵检查合同关系、交付验收、结算、争议解决、时效事实和电子证据。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b w:val="0"/>
          <w:i w:val="0"/>
          <w:sz w:val="21"/>
        </w:rPr>
        <w:t>将冲突、缺失和无法判断事项统一标记为待核实，进入律师复核门禁。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300"/>
        <w:gridCol w:w="6060"/>
      </w:tblGrid>
      <w:tr>
        <w:trPr>
          <w:cantSplit/>
          <w:tblHeader w:val="true"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固定文件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01_案件材料清单.xlsx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格式、哈希、抽取状态、敏感字段和安全备注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02_履约事实时间轴.xlsx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日期、事实摘要、材料编号和精确位置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03_要件证据矩阵.xlsx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14 条规则、状态、事实编号、法源与律师提示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04_货款核对表.xlsx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公式驱动的应收、已付、退货、折让和未付本金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05_矛盾与补证清单.docx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按风险排序的复核工作表与两轮签记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06_诉前案卷体检报告.docx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材料、时间轴、复算、矩阵、补证和复核门禁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audit.json</w:t>
            </w:r>
          </w:p>
        </w:tc>
        <w:tc>
          <w:tcPr>
            <w:tcW w:type="dxa" w:w="6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材料哈希、规则版本、警告、脱敏事件和复核状态</w:t>
            </w:r>
          </w:p>
        </w:tc>
      </w:tr>
    </w:tbl>
    <w:p>
      <w:pPr>
        <w:pStyle w:val="Heading1"/>
      </w:pPr>
      <w:r>
        <w:t>3. 合规与安全设计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800"/>
        <w:gridCol w:w="4700"/>
        <w:gridCol w:w="28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控制点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实现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失败策略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授权与保密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配置须明确 authorized=true；默认离线、无联网检索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未授权即停止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原件保护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只读遍历、前后哈希/大小/时间戳比对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发现变化即审计失败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敏感信息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手机号、身份证号、银行卡、邮箱输出脱敏；原值仅留哈希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不在报告复现原值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提示词注入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材料中的“忽略规则/上传文件”等只作为证据内容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隔离并列为高风险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异常文件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加密、损坏、无文本扫描件和超范围格式显式登记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不静默猜测、不补写事实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人工门禁</w:t>
            </w:r>
          </w:p>
        </w:tc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金额、主体、时效、管辖、法源版本须律师逐项复核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未复核不得外发</w:t>
            </w:r>
          </w:p>
        </w:tc>
      </w:tr>
    </w:tbl>
    <w:p>
      <w:pPr>
        <w:pStyle w:val="Heading1"/>
      </w:pPr>
      <w:r>
        <w:t>4. 已完成验证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700"/>
        <w:gridCol w:w="800"/>
        <w:gridCol w:w="800"/>
        <w:gridCol w:w="800"/>
        <w:gridCol w:w="1500"/>
        <w:gridCol w:w="3760"/>
      </w:tblGrid>
      <w:tr>
        <w:trPr>
          <w:cantSplit/>
          <w:tblHeader w:val="true"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合成案卷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材料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事实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问题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未付本金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关键验证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完整履约案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6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44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100,000.00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分批交付、部分付款、来源定位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无书面合同案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4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22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6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100,000.00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谨慎呈现履约/结算线索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冲突缺证案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5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24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100,000.00</w:t>
            </w:r>
          </w:p>
        </w:tc>
        <w:tc>
          <w:tcPr>
            <w:tcW w:type="dxa" w:w="3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金额冲突、第三方付款、注入、OCR</w:t>
            </w:r>
          </w:p>
        </w:tc>
      </w:tr>
    </w:tbl>
    <w:p>
      <w:pPr>
        <w:spacing w:before="0" w:after="4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300"/>
        <w:gridCol w:w="1700"/>
        <w:gridCol w:w="2500"/>
        <w:gridCol w:w="1860"/>
      </w:tblGrid>
      <w:tr>
        <w:trPr>
          <w:cantSplit/>
          <w:tblHeader w:val="true"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指标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目标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当前结果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本金核算准确率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3/3 = 100%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事实来源定位覆盖率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虚构事实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预设关键缺证识别率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≥90%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4/4 = 100%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Skill 结构快速校验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通过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Skill is valid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自动化端到端/安全测试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通过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6 项覆盖 3 案及失败关闭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开放格式目录兼容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2 种布局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Codex/Claude Code 目录布局 2/2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第二智能体真实运行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2 个环境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本机 Codex 已完成；第二平台无登录态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待完成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律师两轮盲测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2 轮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盲测包与独立答案包已生成；0/2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待完成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演示视频</w:t>
            </w:r>
          </w:p>
        </w:tc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3–5 分钟</w:t>
            </w:r>
          </w:p>
        </w:tc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4:00 / 10 页 / 1080p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通过</w:t>
            </w:r>
          </w:p>
        </w:tc>
      </w:tr>
    </w:tbl>
    <w:p>
      <w:pPr>
        <w:spacing w:before="80" w:after="160"/>
        <w:ind w:left="173"/>
        <w:shd w:fill="FFF4CE"/>
        <w:pBdr>
          <w:left w:val="single" w:sz="16" w:color="2E74B5" w:space="6"/>
        </w:pBdr>
      </w:pPr>
      <w:r>
        <w:rPr>
          <w:rFonts w:ascii="Calibri" w:hAnsi="Calibri" w:eastAsia="Microsoft YaHei"/>
          <w:b/>
          <w:i w:val="0"/>
          <w:color w:val="7A5A00"/>
          <w:sz w:val="21"/>
        </w:rPr>
        <w:t>自动测试通过不等于法律专业验收。references/rules.json 仍标记 pending_prc_lawyer_approval，须由浙江执业律师完成规则确认和两轮盲测。</w:t>
      </w:r>
    </w:p>
    <w:p>
      <w:pPr>
        <w:pStyle w:val="Heading1"/>
      </w:pPr>
      <w:r>
        <w:t>5. 评审维度对应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2000"/>
        <w:gridCol w:w="1000"/>
        <w:gridCol w:w="4060"/>
        <w:gridCol w:w="2300"/>
      </w:tblGrid>
      <w:tr>
        <w:trPr>
          <w:cantSplit/>
          <w:tblHeader w:val="true"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评审维度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权重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作品证据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演示重点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法律专业价值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30%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14 条规则矩阵、可追溯事实、货款精确复算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展示无书面合同与冲突案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实用性与易用性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25%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固定 7 件输出、模板化配置、律师复核门禁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3 分钟完成导入到报告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可推广性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20%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平台中立、无专有数据库、薄适配层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说明可迁移到主流智能体</w:t>
            </w:r>
          </w:p>
        </w:tc>
      </w:tr>
      <w:tr>
        <w:trPr>
          <w:cantSplit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合规与安全</w:t>
            </w:r>
          </w:p>
        </w:tc>
        <w:tc>
          <w:tcPr>
            <w:tcW w:type="dxa" w:w="1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25%</w:t>
            </w:r>
          </w:p>
        </w:tc>
        <w:tc>
          <w:tcPr>
            <w:tcW w:type="dxa" w:w="4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离线、只读、脱敏、注入隔离、失败关闭、audit.json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现场展示恶意文档不执行</w:t>
            </w:r>
          </w:p>
        </w:tc>
      </w:tr>
    </w:tbl>
    <w:p>
      <w:pPr>
        <w:pStyle w:val="Heading1"/>
      </w:pPr>
      <w:r>
        <w:t>6. 已完成的 4 分钟演示</w:t>
      </w:r>
    </w:p>
    <w:p>
      <w:r>
        <w:rPr>
          <w:rFonts w:ascii="Calibri" w:hAnsi="Calibri" w:eastAsia="Microsoft YaHei"/>
          <w:b w:val="0"/>
          <w:i w:val="0"/>
          <w:sz w:val="21"/>
        </w:rPr>
        <w:t>已生成可编辑 PPTX 和 00:04:00 MP4。画面只使用合成案卷及本地生成成果；第 9 页明确区分目录迁移校验与第二智能体真实实跑。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500"/>
        <w:gridCol w:w="3000"/>
        <w:gridCol w:w="4860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时间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操作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讲解要点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0:00–0:24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作品定位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可审计的案卷体检，不是胜诉预测器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0:24–1:12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业务价值与边界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8 类材料、7 项输出、境内 B2B 卖方追款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1:12–2:00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工作流与完整履约案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只读建档、来源定位、复算未付本金 100,000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2:00–2:48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无书面合同与冲突缺证案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谨慎措辞、异常暴露、注入隔离与失败关闭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2:48–3:36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固定交付与验收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六份律师文档、一份审计记录；技术通过、人工门禁待完成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3:36–4:00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平台迁移与收束</w:t>
            </w:r>
          </w:p>
        </w:tc>
        <w:tc>
          <w:tcPr>
            <w:tcW w:type="dxa" w:w="4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目录校验不冒充第二智能体实跑；律师作最终判断</w:t>
            </w:r>
          </w:p>
        </w:tc>
      </w:tr>
    </w:tbl>
    <w:p>
      <w:pPr>
        <w:pStyle w:val="Heading1"/>
      </w:pPr>
      <w:r>
        <w:t>7. 部署、运行与复核</w:t>
      </w:r>
    </w:p>
    <w:p>
      <w:pPr>
        <w:pStyle w:val="ListNumber2"/>
        <w:spacing w:after="80" w:line="300" w:lineRule="auto"/>
      </w:pPr>
      <w:r>
        <w:rPr>
          <w:rFonts w:ascii="Calibri" w:hAnsi="Calibri" w:eastAsia="Microsoft YaHei"/>
          <w:b w:val="0"/>
          <w:i w:val="0"/>
          <w:sz w:val="21"/>
        </w:rPr>
        <w:t>复制 sale-payment-preflight 文件夹或导入其 SKILL.md。</w:t>
      </w:r>
    </w:p>
    <w:p>
      <w:pPr>
        <w:pStyle w:val="ListNumber2"/>
        <w:spacing w:after="80" w:line="300" w:lineRule="auto"/>
      </w:pPr>
      <w:r>
        <w:rPr>
          <w:rFonts w:ascii="Calibri" w:hAnsi="Calibri" w:eastAsia="Microsoft YaHei"/>
          <w:b w:val="0"/>
          <w:i w:val="0"/>
          <w:sz w:val="21"/>
        </w:rPr>
        <w:t>按 assets/case-config.example.json 准备配置，并将案件材料放在独立只读目录。</w:t>
      </w:r>
    </w:p>
    <w:p>
      <w:pPr>
        <w:pStyle w:val="ListNumber2"/>
        <w:spacing w:after="80" w:line="300" w:lineRule="auto"/>
      </w:pPr>
      <w:r>
        <w:rPr>
          <w:rFonts w:ascii="Calibri" w:hAnsi="Calibri" w:eastAsia="Microsoft YaHei"/>
          <w:b w:val="0"/>
          <w:i w:val="0"/>
          <w:sz w:val="21"/>
        </w:rPr>
        <w:t>运行核心预检，生成 analysis.json 与 audit.json。</w:t>
      </w:r>
    </w:p>
    <w:p>
      <w:pPr>
        <w:pStyle w:val="ListNumber2"/>
        <w:spacing w:after="80" w:line="300" w:lineRule="auto"/>
      </w:pPr>
      <w:r>
        <w:rPr>
          <w:rFonts w:ascii="Calibri" w:hAnsi="Calibri" w:eastAsia="Microsoft YaHei"/>
          <w:b w:val="0"/>
          <w:i w:val="0"/>
          <w:sz w:val="21"/>
        </w:rPr>
        <w:t>生成四份 XLSX 和两份 DOCX 成果。</w:t>
      </w:r>
    </w:p>
    <w:p>
      <w:pPr>
        <w:pStyle w:val="ListNumber2"/>
        <w:spacing w:after="80" w:line="300" w:lineRule="auto"/>
      </w:pPr>
      <w:r>
        <w:rPr>
          <w:rFonts w:ascii="Calibri" w:hAnsi="Calibri" w:eastAsia="Microsoft YaHei"/>
          <w:b w:val="0"/>
          <w:i w:val="0"/>
          <w:sz w:val="21"/>
        </w:rPr>
        <w:t>执行 validate_outputs.py 与 validate_portability.py。</w:t>
      </w:r>
    </w:p>
    <w:p>
      <w:pPr>
        <w:pStyle w:val="ListNumber2"/>
        <w:spacing w:after="80" w:line="300" w:lineRule="auto"/>
      </w:pPr>
      <w:r>
        <w:rPr>
          <w:rFonts w:ascii="Calibri" w:hAnsi="Calibri" w:eastAsia="Microsoft YaHei"/>
          <w:b w:val="0"/>
          <w:i w:val="0"/>
          <w:sz w:val="21"/>
        </w:rPr>
        <w:t>由承办律师完成规则确认、两轮盲测与签记。</w:t>
      </w:r>
    </w:p>
    <w:p>
      <w:r>
        <w:rPr>
          <w:rFonts w:ascii="Calibri" w:hAnsi="Calibri" w:eastAsia="Microsoft YaHei"/>
          <w:b/>
          <w:i w:val="0"/>
          <w:color w:val="0B2545"/>
          <w:sz w:val="21"/>
        </w:rPr>
        <w:t>适配原则：</w:t>
      </w:r>
      <w:r>
        <w:rPr>
          <w:rFonts w:ascii="Calibri" w:hAnsi="Calibri" w:eastAsia="Microsoft YaHei"/>
          <w:b w:val="0"/>
          <w:i w:val="0"/>
          <w:sz w:val="21"/>
        </w:rPr>
        <w:t>技术规范公布后，仅需在 agents/ 或新增 manifest 中补充平台字段，不改变核心规则、脚本与输出合同。</w:t>
      </w:r>
    </w:p>
    <w:p>
      <w:pPr>
        <w:pStyle w:val="Heading1"/>
      </w:pPr>
      <w:r>
        <w:t>8. 法源登记与使用限制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sz w:val="19"/>
        </w:rPr>
        <w:t>《中华人民共和国民法典》：https://wb.flk.npc.gov.cn/flfg/PDF/bd53dd912c1048f2aecbaa229238334b.pdf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sz w:val="19"/>
        </w:rPr>
        <w:t>买卖合同司法解释（2020 修正）：https://gongbao.court.gov.cn/Details/ba1b35d94fe5430b29f99395323878.html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sz w:val="19"/>
        </w:rPr>
        <w:t>民事诉讼证据规定（2019 修正）：https://www.court.gov.cn/zixun/xiangqing/212721.html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b w:val="0"/>
          <w:i w:val="0"/>
          <w:sz w:val="19"/>
        </w:rPr>
        <w:t>《中华人民共和国律师法》：https://www.npc.gov.cn/npc/c2/c183/c198/201905/t20190522_27500.html</w:t>
      </w:r>
    </w:p>
    <w:p>
      <w:pPr>
        <w:spacing w:before="80" w:after="160"/>
        <w:ind w:left="173"/>
        <w:shd w:fill="F4F6F9"/>
        <w:pBdr>
          <w:left w:val="single" w:sz="16" w:color="2E74B5" w:space="6"/>
        </w:pBdr>
      </w:pPr>
      <w:r>
        <w:rPr>
          <w:rFonts w:ascii="Calibri" w:hAnsi="Calibri" w:eastAsia="Microsoft YaHei"/>
          <w:b/>
          <w:i w:val="0"/>
          <w:color w:val="0B2545"/>
          <w:sz w:val="21"/>
        </w:rPr>
        <w:t>法源核验日为 2026-08-12。任何真实案件使用前，承办律师须重新确认规范有效性、时间效力、地域与案件适用范围。</w:t>
      </w:r>
    </w:p>
    <w:p>
      <w:r>
        <w:br w:type="page"/>
      </w:r>
    </w:p>
    <w:p>
      <w:pPr>
        <w:pStyle w:val="Heading1"/>
      </w:pPr>
      <w:r>
        <w:t>9. 投稿前待完成事项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3000"/>
        <w:gridCol w:w="2100"/>
        <w:gridCol w:w="4260"/>
      </w:tblGrid>
      <w:tr>
        <w:trPr>
          <w:cantSplit/>
          <w:tblHeader w:val="true"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事项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责任人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/>
                <w:i w:val="0"/>
                <w:color w:val="0B2545"/>
                <w:sz w:val="18"/>
              </w:rPr>
              <w:t>完成标准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规则矩阵专业确认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浙江执业律师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rules.json 改为 approved，并留姓名/日期/版本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第一轮盲测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未参与开发的律师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记录漏项、错项、金额和来源定位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修订与第二轮验收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开发者 + 复核律师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所有阻塞项关闭并签字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第二智能体真实实跑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技术负责人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登录第二平台，以同一完整案完成核心流程并保存截图/日志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官方报名表 Word/PDF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申报团队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补全队名、人员、律所、联系方式并签名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投稿邮件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申报团队</w:t>
            </w:r>
          </w:p>
        </w:tc>
        <w:tc>
          <w:tcPr>
            <w:tcW w:type="dxa" w:w="4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30" w:line="264" w:lineRule="auto"/>
            </w:pPr>
            <w:r>
              <w:rPr>
                <w:rFonts w:ascii="Calibri" w:hAnsi="Calibri" w:eastAsia="Microsoft YaHei"/>
                <w:b w:val="0"/>
                <w:i w:val="0"/>
                <w:sz w:val="18"/>
              </w:rPr>
              <w:t>附 4 分钟演示视频或链接；8 月 20 日前内部发出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152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67085"/>
        <w:sz w:val="17"/>
      </w:rPr>
      <w:t xml:space="preserve">sale-payment-preflight  |  第 </w:t>
    </w:r>
    <w:r>
      <w:rPr>
        <w:rFonts w:ascii="Calibri" w:hAnsi="Calibri" w:eastAsia="Microsoft YaHei"/>
        <w:b w:val="0"/>
        <w:i w:val="0"/>
        <w:color w:val="667085"/>
        <w:sz w:val="17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i w:val="0"/>
        <w:color w:val="667085"/>
        <w:sz w:val="17"/>
      </w:rPr>
      <w:t>浙江省青年律师法律 AI Skill 征集｜作品技术说明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企业买卖合同货款追索诉前案卷体检 Skill</dc:subject>
  <dc:creator>sale-payment-preflight 参赛团队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