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Microsoft YaHei"/>
          <w:b/>
          <w:i w:val="0"/>
          <w:color w:val="2E74B5"/>
          <w:sz w:val="20"/>
        </w:rPr>
        <w:t>浙江省青年律师法律 AI 技能（Skill）征集活动</w:t>
      </w:r>
    </w:p>
    <w:p>
      <w:pPr>
        <w:spacing w:after="80"/>
      </w:pPr>
      <w:r>
        <w:rPr>
          <w:rFonts w:ascii="Calibri" w:hAnsi="Calibri" w:eastAsia="Microsoft YaHei"/>
          <w:b/>
          <w:i w:val="0"/>
          <w:color w:val="0B2545"/>
          <w:sz w:val="50"/>
        </w:rPr>
        <w:t>报名信息预填稿</w:t>
      </w:r>
    </w:p>
    <w:p>
      <w:r>
        <w:rPr>
          <w:rFonts w:ascii="Calibri" w:hAnsi="Calibri" w:eastAsia="Microsoft YaHei"/>
          <w:b w:val="0"/>
          <w:i w:val="0"/>
          <w:color w:val="667085"/>
          <w:sz w:val="25"/>
        </w:rPr>
        <w:t>sale-payment-preflight｜非官方模板｜2026-08-12</w:t>
      </w:r>
    </w:p>
    <w:p>
      <w:pPr>
        <w:spacing w:before="80" w:after="160"/>
        <w:ind w:left="173"/>
        <w:shd w:fill="FCE8E6"/>
        <w:pBdr>
          <w:left w:val="single" w:sz="16" w:color="2E74B5" w:space="6"/>
        </w:pBdr>
      </w:pPr>
      <w:r>
        <w:rPr>
          <w:rFonts w:ascii="Calibri" w:hAnsi="Calibri" w:eastAsia="Microsoft YaHei"/>
          <w:b/>
          <w:i w:val="0"/>
          <w:color w:val="9B1C1C"/>
          <w:sz w:val="21"/>
        </w:rPr>
        <w:t>重要：本文件依据活动通知整理，不是浙江律协发布的《报名表.doc》。取得官方附件后，须逐项转录并以官方字段、声明和签名页为准；不得直接将本文件作为正式报名表投稿。</w:t>
      </w:r>
    </w:p>
    <w:p>
      <w:pPr>
        <w:pStyle w:val="Heading1"/>
      </w:pPr>
      <w:r>
        <w:t>1. 参赛团队信息</w:t>
      </w:r>
    </w:p>
    <w:tbl>
      <w:tblPr>
        <w:tblW w:type="dxa" w:w="9360"/>
        <w:tblLayout w:type="fixed"/>
        <w:tblLook w:firstColumn="1" w:firstRow="1" w:lastColumn="0" w:lastRow="0" w:noHBand="0" w:noVBand="1" w:val="04A0"/>
        <w:tblInd w:w="120" w:type="dxa"/>
        <w:tblLayout w:type="fixed"/>
        <w:tblBorders>
          <w:top w:val="single" w:sz="4" w:color="D9DEE7"/>
          <w:left w:val="single" w:sz="4" w:color="D9DEE7"/>
          <w:bottom w:val="single" w:sz="4" w:color="D9DEE7"/>
          <w:right w:val="single" w:sz="4" w:color="D9DEE7"/>
          <w:insideH w:val="single" w:sz="4" w:color="D9DEE7"/>
          <w:insideV w:val="single" w:sz="4" w:color="D9DEE7"/>
        </w:tblBorders>
      </w:tblPr>
      <w:tblGrid>
        <w:gridCol w:w="2600"/>
        <w:gridCol w:w="6760"/>
      </w:tblGrid>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参赛队名称</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【待申报团队填写】</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牵头单位/律所</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【待填写；须符合征集对象要求】</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队长</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【姓名、执业/实习身份、所在单位】</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联系人</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【姓名】</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联系电话</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【手机号】</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电子邮箱</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【邮箱】</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联合申报单位</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【如无填“无”】</w:t>
            </w:r>
          </w:p>
        </w:tc>
      </w:tr>
    </w:tbl>
    <w:p>
      <w:pPr>
        <w:pStyle w:val="Heading1"/>
      </w:pPr>
      <w:r>
        <w:t>2. 参赛成员与分工</w:t>
      </w:r>
    </w:p>
    <w:tbl>
      <w:tblPr>
        <w:tblW w:type="dxa" w:w="9360"/>
        <w:tblLayout w:type="fixed"/>
        <w:tblLook w:firstColumn="1" w:firstRow="1" w:lastColumn="0" w:lastRow="0" w:noHBand="0" w:noVBand="1" w:val="04A0"/>
        <w:tblInd w:w="120" w:type="dxa"/>
        <w:tblLayout w:type="fixed"/>
        <w:tblBorders>
          <w:top w:val="single" w:sz="4" w:color="D9DEE7"/>
          <w:left w:val="single" w:sz="4" w:color="D9DEE7"/>
          <w:bottom w:val="single" w:sz="4" w:color="D9DEE7"/>
          <w:right w:val="single" w:sz="4" w:color="D9DEE7"/>
          <w:insideH w:val="single" w:sz="4" w:color="D9DEE7"/>
          <w:insideV w:val="single" w:sz="4" w:color="D9DEE7"/>
        </w:tblBorders>
      </w:tblPr>
      <w:tblGrid>
        <w:gridCol w:w="700"/>
        <w:gridCol w:w="1500"/>
        <w:gridCol w:w="2100"/>
        <w:gridCol w:w="2200"/>
        <w:gridCol w:w="2860"/>
      </w:tblGrid>
      <w:tr>
        <w:trPr>
          <w:cantSplit/>
          <w:tblHeader w:val="true"/>
        </w:trPr>
        <w:tc>
          <w:tcPr>
            <w:tcW w:type="dxa" w:w="700"/>
            <w:vAlign w:val="center"/>
            <w:tcMar>
              <w:top w:w="90" w:type="dxa"/>
              <w:start w:w="120" w:type="dxa"/>
              <w:bottom w:w="90" w:type="dxa"/>
              <w:end w:w="120" w:type="dxa"/>
            </w:tcMar>
            <w:shd w:fill="E8EEF5"/>
          </w:tcPr>
          <w:p>
            <w:pPr>
              <w:spacing w:after="30" w:line="264" w:lineRule="auto"/>
            </w:pPr>
            <w:r>
              <w:rPr>
                <w:rFonts w:ascii="Calibri" w:hAnsi="Calibri" w:eastAsia="Microsoft YaHei"/>
                <w:b/>
                <w:i w:val="0"/>
                <w:color w:val="0B2545"/>
                <w:sz w:val="18"/>
              </w:rPr>
              <w:t>序号</w:t>
            </w:r>
          </w:p>
        </w:tc>
        <w:tc>
          <w:tcPr>
            <w:tcW w:type="dxa" w:w="1500"/>
            <w:vAlign w:val="center"/>
            <w:tcMar>
              <w:top w:w="90" w:type="dxa"/>
              <w:start w:w="120" w:type="dxa"/>
              <w:bottom w:w="90" w:type="dxa"/>
              <w:end w:w="120" w:type="dxa"/>
            </w:tcMar>
            <w:shd w:fill="E8EEF5"/>
          </w:tcPr>
          <w:p>
            <w:pPr>
              <w:spacing w:after="30" w:line="264" w:lineRule="auto"/>
            </w:pPr>
            <w:r>
              <w:rPr>
                <w:rFonts w:ascii="Calibri" w:hAnsi="Calibri" w:eastAsia="Microsoft YaHei"/>
                <w:b/>
                <w:i w:val="0"/>
                <w:color w:val="0B2545"/>
                <w:sz w:val="18"/>
              </w:rPr>
              <w:t>姓名</w:t>
            </w:r>
          </w:p>
        </w:tc>
        <w:tc>
          <w:tcPr>
            <w:tcW w:type="dxa" w:w="2100"/>
            <w:vAlign w:val="center"/>
            <w:tcMar>
              <w:top w:w="90" w:type="dxa"/>
              <w:start w:w="120" w:type="dxa"/>
              <w:bottom w:w="90" w:type="dxa"/>
              <w:end w:w="120" w:type="dxa"/>
            </w:tcMar>
            <w:shd w:fill="E8EEF5"/>
          </w:tcPr>
          <w:p>
            <w:pPr>
              <w:spacing w:after="30" w:line="264" w:lineRule="auto"/>
            </w:pPr>
            <w:r>
              <w:rPr>
                <w:rFonts w:ascii="Calibri" w:hAnsi="Calibri" w:eastAsia="Microsoft YaHei"/>
                <w:b/>
                <w:i w:val="0"/>
                <w:color w:val="0B2545"/>
                <w:sz w:val="18"/>
              </w:rPr>
              <w:t>身份/执业证号</w:t>
            </w:r>
          </w:p>
        </w:tc>
        <w:tc>
          <w:tcPr>
            <w:tcW w:type="dxa" w:w="2200"/>
            <w:vAlign w:val="center"/>
            <w:tcMar>
              <w:top w:w="90" w:type="dxa"/>
              <w:start w:w="120" w:type="dxa"/>
              <w:bottom w:w="90" w:type="dxa"/>
              <w:end w:w="120" w:type="dxa"/>
            </w:tcMar>
            <w:shd w:fill="E8EEF5"/>
          </w:tcPr>
          <w:p>
            <w:pPr>
              <w:spacing w:after="30" w:line="264" w:lineRule="auto"/>
            </w:pPr>
            <w:r>
              <w:rPr>
                <w:rFonts w:ascii="Calibri" w:hAnsi="Calibri" w:eastAsia="Microsoft YaHei"/>
                <w:b/>
                <w:i w:val="0"/>
                <w:color w:val="0B2545"/>
                <w:sz w:val="18"/>
              </w:rPr>
              <w:t>单位</w:t>
            </w:r>
          </w:p>
        </w:tc>
        <w:tc>
          <w:tcPr>
            <w:tcW w:type="dxa" w:w="2860"/>
            <w:vAlign w:val="center"/>
            <w:tcMar>
              <w:top w:w="90" w:type="dxa"/>
              <w:start w:w="120" w:type="dxa"/>
              <w:bottom w:w="90" w:type="dxa"/>
              <w:end w:w="120" w:type="dxa"/>
            </w:tcMar>
            <w:shd w:fill="E8EEF5"/>
          </w:tcPr>
          <w:p>
            <w:pPr>
              <w:spacing w:after="30" w:line="264" w:lineRule="auto"/>
            </w:pPr>
            <w:r>
              <w:rPr>
                <w:rFonts w:ascii="Calibri" w:hAnsi="Calibri" w:eastAsia="Microsoft YaHei"/>
                <w:b/>
                <w:i w:val="0"/>
                <w:color w:val="0B2545"/>
                <w:sz w:val="18"/>
              </w:rPr>
              <w:t>主要分工</w:t>
            </w:r>
          </w:p>
        </w:tc>
      </w:tr>
      <w:tr>
        <w:trPr>
          <w:cantSplit/>
        </w:trPr>
        <w:tc>
          <w:tcPr>
            <w:tcW w:type="dxa" w:w="7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1</w:t>
            </w:r>
          </w:p>
        </w:tc>
        <w:tc>
          <w:tcPr>
            <w:tcW w:type="dxa" w:w="15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【待填写】</w:t>
            </w:r>
          </w:p>
        </w:tc>
        <w:tc>
          <w:tcPr>
            <w:tcW w:type="dxa" w:w="21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【待填写】</w:t>
            </w:r>
          </w:p>
        </w:tc>
        <w:tc>
          <w:tcPr>
            <w:tcW w:type="dxa" w:w="22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【待填写】</w:t>
            </w:r>
          </w:p>
        </w:tc>
        <w:tc>
          <w:tcPr>
            <w:tcW w:type="dxa" w:w="28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法律规则确认、盲测与签核</w:t>
            </w:r>
          </w:p>
        </w:tc>
      </w:tr>
      <w:tr>
        <w:trPr>
          <w:cantSplit/>
        </w:trPr>
        <w:tc>
          <w:tcPr>
            <w:tcW w:type="dxa" w:w="7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2</w:t>
            </w:r>
          </w:p>
        </w:tc>
        <w:tc>
          <w:tcPr>
            <w:tcW w:type="dxa" w:w="15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【待填写】</w:t>
            </w:r>
          </w:p>
        </w:tc>
        <w:tc>
          <w:tcPr>
            <w:tcW w:type="dxa" w:w="21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【待填写】</w:t>
            </w:r>
          </w:p>
        </w:tc>
        <w:tc>
          <w:tcPr>
            <w:tcW w:type="dxa" w:w="22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【待填写】</w:t>
            </w:r>
          </w:p>
        </w:tc>
        <w:tc>
          <w:tcPr>
            <w:tcW w:type="dxa" w:w="28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Skill 架构、脚本与兼容测试</w:t>
            </w:r>
          </w:p>
        </w:tc>
      </w:tr>
      <w:tr>
        <w:trPr>
          <w:cantSplit/>
        </w:trPr>
        <w:tc>
          <w:tcPr>
            <w:tcW w:type="dxa" w:w="7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3</w:t>
            </w:r>
          </w:p>
        </w:tc>
        <w:tc>
          <w:tcPr>
            <w:tcW w:type="dxa" w:w="15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【选填】</w:t>
            </w:r>
          </w:p>
        </w:tc>
        <w:tc>
          <w:tcPr>
            <w:tcW w:type="dxa" w:w="21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【选填】</w:t>
            </w:r>
          </w:p>
        </w:tc>
        <w:tc>
          <w:tcPr>
            <w:tcW w:type="dxa" w:w="22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【选填】</w:t>
            </w:r>
          </w:p>
        </w:tc>
        <w:tc>
          <w:tcPr>
            <w:tcW w:type="dxa" w:w="28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材料模板、演示与投稿协调</w:t>
            </w:r>
          </w:p>
        </w:tc>
      </w:tr>
    </w:tbl>
    <w:p>
      <w:pPr>
        <w:pStyle w:val="Heading1"/>
      </w:pPr>
      <w:r>
        <w:t>3. 作品基本信息</w:t>
      </w:r>
    </w:p>
    <w:tbl>
      <w:tblPr>
        <w:tblW w:type="dxa" w:w="9360"/>
        <w:tblLayout w:type="fixed"/>
        <w:tblLook w:firstColumn="1" w:firstRow="1" w:lastColumn="0" w:lastRow="0" w:noHBand="0" w:noVBand="1" w:val="04A0"/>
        <w:tblInd w:w="120" w:type="dxa"/>
        <w:tblLayout w:type="fixed"/>
        <w:tblBorders>
          <w:top w:val="single" w:sz="4" w:color="D9DEE7"/>
          <w:left w:val="single" w:sz="4" w:color="D9DEE7"/>
          <w:bottom w:val="single" w:sz="4" w:color="D9DEE7"/>
          <w:right w:val="single" w:sz="4" w:color="D9DEE7"/>
          <w:insideH w:val="single" w:sz="4" w:color="D9DEE7"/>
          <w:insideV w:val="single" w:sz="4" w:color="D9DEE7"/>
        </w:tblBorders>
      </w:tblPr>
      <w:tblGrid>
        <w:gridCol w:w="2600"/>
        <w:gridCol w:w="6760"/>
      </w:tblGrid>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作品名称</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企业买卖合同货款追索诉前案卷体检 Skill</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内部名称</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sale-payment-preflight</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申报方向/赛道</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通用法律实务 Skill</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适用业务</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境内 B2B 货物买卖中卖方追索未付货款</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作品形态</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平台中立 Skill 包、确定性脚本、规则矩阵、合成案卷、固定输出模板</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版本</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v1.0（法源核验日：2026-08-12）</w:t>
            </w:r>
          </w:p>
        </w:tc>
      </w:tr>
    </w:tbl>
    <w:p>
      <w:pPr>
        <w:pStyle w:val="Heading1"/>
      </w:pPr>
      <w:r>
        <w:t>4. 作品摘要（建议转录稿）</w:t>
      </w:r>
    </w:p>
    <w:p>
      <w:r>
        <w:rPr>
          <w:rFonts w:ascii="Calibri" w:hAnsi="Calibri" w:eastAsia="Microsoft YaHei"/>
          <w:b w:val="0"/>
          <w:i w:val="0"/>
          <w:sz w:val="21"/>
        </w:rPr>
        <w:t>本作品面向境内企业间货物买卖中卖方追索未付货款的诉前案卷整理。Skill 在离线、只读前提下，对合同、订单、送货签收、发票、对账、付款和往来材料建立哈希清单，提取可定位事实，形成履约时间轴、要件证据矩阵和货款核对表，并输出矛盾补证清单与诉前体检报告。对缺失、冲突、扫描件、加密文件和文档内提示词指令采取失败关闭或待核实处理，所有成果均标注为律师复核前草稿，不输出胜诉率或替代律师作终局判断。</w:t>
      </w:r>
    </w:p>
    <w:p>
      <w:pPr>
        <w:pStyle w:val="Heading1"/>
      </w:pPr>
      <w:r>
        <w:t>5. 创新性、实用性与可推广性（建议转录稿）</w:t>
      </w:r>
    </w:p>
    <w:tbl>
      <w:tblPr>
        <w:tblW w:type="dxa" w:w="9360"/>
        <w:tblLayout w:type="fixed"/>
        <w:tblLook w:firstColumn="1" w:firstRow="1" w:lastColumn="0" w:lastRow="0" w:noHBand="0" w:noVBand="1" w:val="04A0"/>
        <w:tblInd w:w="120" w:type="dxa"/>
        <w:tblLayout w:type="fixed"/>
        <w:tblBorders>
          <w:top w:val="single" w:sz="4" w:color="D9DEE7"/>
          <w:left w:val="single" w:sz="4" w:color="D9DEE7"/>
          <w:bottom w:val="single" w:sz="4" w:color="D9DEE7"/>
          <w:right w:val="single" w:sz="4" w:color="D9DEE7"/>
          <w:insideH w:val="single" w:sz="4" w:color="D9DEE7"/>
          <w:insideV w:val="single" w:sz="4" w:color="D9DEE7"/>
        </w:tblBorders>
      </w:tblPr>
      <w:tblGrid>
        <w:gridCol w:w="1900"/>
        <w:gridCol w:w="7460"/>
      </w:tblGrid>
      <w:tr>
        <w:trPr>
          <w:cantSplit/>
        </w:trPr>
        <w:tc>
          <w:tcPr>
            <w:tcW w:type="dxa" w:w="19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法律专业价值</w:t>
            </w:r>
          </w:p>
        </w:tc>
        <w:tc>
          <w:tcPr>
            <w:tcW w:type="dxa" w:w="74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将买卖合同履约材料串为可溯源证据链，以 14 条律师规则矩阵检查合同关系、交付验收、结算、争议解决、时效事实和电子证据。</w:t>
            </w:r>
          </w:p>
        </w:tc>
      </w:tr>
      <w:tr>
        <w:trPr>
          <w:cantSplit/>
        </w:trPr>
        <w:tc>
          <w:tcPr>
            <w:tcW w:type="dxa" w:w="19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实用与易用</w:t>
            </w:r>
          </w:p>
        </w:tc>
        <w:tc>
          <w:tcPr>
            <w:tcW w:type="dxa" w:w="74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固定生成四份工作簿、两份 Word 草稿和 audit.json；支持文本型 PDF、DOCX、XLSX、CSV、TXT。</w:t>
            </w:r>
          </w:p>
        </w:tc>
      </w:tr>
      <w:tr>
        <w:trPr>
          <w:cantSplit/>
        </w:trPr>
        <w:tc>
          <w:tcPr>
            <w:tcW w:type="dxa" w:w="19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可推广性</w:t>
            </w:r>
          </w:p>
        </w:tc>
        <w:tc>
          <w:tcPr>
            <w:tcW w:type="dxa" w:w="74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核心不依赖专有法律数据库或特定模型；SKILL.md、scripts、references、assets 采用开放目录结构，平台差异由薄适配层处理。</w:t>
            </w:r>
          </w:p>
        </w:tc>
      </w:tr>
      <w:tr>
        <w:trPr>
          <w:cantSplit/>
        </w:trPr>
        <w:tc>
          <w:tcPr>
            <w:tcW w:type="dxa" w:w="19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合规安全</w:t>
            </w:r>
          </w:p>
        </w:tc>
        <w:tc>
          <w:tcPr>
            <w:tcW w:type="dxa" w:w="74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演示仅用合成案卷；默认离线、原件只读、输出脱敏、提示词注入隔离、异常文件失败关闭，并保留机器可读审计记录。</w:t>
            </w:r>
          </w:p>
        </w:tc>
      </w:tr>
    </w:tbl>
    <w:p>
      <w:pPr>
        <w:pStyle w:val="Heading1"/>
      </w:pPr>
      <w:r>
        <w:t>6. 已完成验证与仍需签核</w:t>
      </w:r>
    </w:p>
    <w:tbl>
      <w:tblPr>
        <w:tblW w:type="dxa" w:w="9360"/>
        <w:tblLayout w:type="fixed"/>
        <w:tblLook w:firstColumn="1" w:firstRow="1" w:lastColumn="0" w:lastRow="0" w:noHBand="0" w:noVBand="1" w:val="04A0"/>
        <w:tblInd w:w="120" w:type="dxa"/>
        <w:tblLayout w:type="fixed"/>
        <w:tblBorders>
          <w:top w:val="single" w:sz="4" w:color="D9DEE7"/>
          <w:left w:val="single" w:sz="4" w:color="D9DEE7"/>
          <w:bottom w:val="single" w:sz="4" w:color="D9DEE7"/>
          <w:right w:val="single" w:sz="4" w:color="D9DEE7"/>
          <w:insideH w:val="single" w:sz="4" w:color="D9DEE7"/>
          <w:insideV w:val="single" w:sz="4" w:color="D9DEE7"/>
        </w:tblBorders>
      </w:tblPr>
      <w:tblGrid>
        <w:gridCol w:w="2500"/>
        <w:gridCol w:w="1600"/>
        <w:gridCol w:w="5260"/>
      </w:tblGrid>
      <w:tr>
        <w:trPr>
          <w:cantSplit/>
          <w:tblHeader w:val="true"/>
        </w:trPr>
        <w:tc>
          <w:tcPr>
            <w:tcW w:type="dxa" w:w="2500"/>
            <w:vAlign w:val="center"/>
            <w:tcMar>
              <w:top w:w="90" w:type="dxa"/>
              <w:start w:w="120" w:type="dxa"/>
              <w:bottom w:w="90" w:type="dxa"/>
              <w:end w:w="120" w:type="dxa"/>
            </w:tcMar>
            <w:shd w:fill="E8EEF5"/>
          </w:tcPr>
          <w:p>
            <w:pPr>
              <w:spacing w:after="30" w:line="264" w:lineRule="auto"/>
            </w:pPr>
            <w:r>
              <w:rPr>
                <w:rFonts w:ascii="Calibri" w:hAnsi="Calibri" w:eastAsia="Microsoft YaHei"/>
                <w:b/>
                <w:i w:val="0"/>
                <w:color w:val="0B2545"/>
                <w:sz w:val="18"/>
              </w:rPr>
              <w:t>事项</w:t>
            </w:r>
          </w:p>
        </w:tc>
        <w:tc>
          <w:tcPr>
            <w:tcW w:type="dxa" w:w="1600"/>
            <w:vAlign w:val="center"/>
            <w:tcMar>
              <w:top w:w="90" w:type="dxa"/>
              <w:start w:w="120" w:type="dxa"/>
              <w:bottom w:w="90" w:type="dxa"/>
              <w:end w:w="120" w:type="dxa"/>
            </w:tcMar>
            <w:shd w:fill="E8EEF5"/>
          </w:tcPr>
          <w:p>
            <w:pPr>
              <w:spacing w:after="30" w:line="264" w:lineRule="auto"/>
            </w:pPr>
            <w:r>
              <w:rPr>
                <w:rFonts w:ascii="Calibri" w:hAnsi="Calibri" w:eastAsia="Microsoft YaHei"/>
                <w:b/>
                <w:i w:val="0"/>
                <w:color w:val="0B2545"/>
                <w:sz w:val="18"/>
              </w:rPr>
              <w:t>当前状态</w:t>
            </w:r>
          </w:p>
        </w:tc>
        <w:tc>
          <w:tcPr>
            <w:tcW w:type="dxa" w:w="5260"/>
            <w:vAlign w:val="center"/>
            <w:tcMar>
              <w:top w:w="90" w:type="dxa"/>
              <w:start w:w="120" w:type="dxa"/>
              <w:bottom w:w="90" w:type="dxa"/>
              <w:end w:w="120" w:type="dxa"/>
            </w:tcMar>
            <w:shd w:fill="E8EEF5"/>
          </w:tcPr>
          <w:p>
            <w:pPr>
              <w:spacing w:after="30" w:line="264" w:lineRule="auto"/>
            </w:pPr>
            <w:r>
              <w:rPr>
                <w:rFonts w:ascii="Calibri" w:hAnsi="Calibri" w:eastAsia="Microsoft YaHei"/>
                <w:b/>
                <w:i w:val="0"/>
                <w:color w:val="0B2545"/>
                <w:sz w:val="18"/>
              </w:rPr>
              <w:t>证据/完成标准</w:t>
            </w:r>
          </w:p>
        </w:tc>
      </w:tr>
      <w:tr>
        <w:trPr>
          <w:cantSplit/>
        </w:trPr>
        <w:tc>
          <w:tcPr>
            <w:tcW w:type="dxa" w:w="25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三套合成案卷</w:t>
            </w:r>
          </w:p>
        </w:tc>
        <w:tc>
          <w:tcPr>
            <w:tcW w:type="dxa" w:w="16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已完成</w:t>
            </w:r>
          </w:p>
        </w:tc>
        <w:tc>
          <w:tcPr>
            <w:tcW w:type="dxa" w:w="52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完整履约、无书面合同、冲突缺证</w:t>
            </w:r>
          </w:p>
        </w:tc>
      </w:tr>
      <w:tr>
        <w:trPr>
          <w:cantSplit/>
        </w:trPr>
        <w:tc>
          <w:tcPr>
            <w:tcW w:type="dxa" w:w="25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本金与来源验收</w:t>
            </w:r>
          </w:p>
        </w:tc>
        <w:tc>
          <w:tcPr>
            <w:tcW w:type="dxa" w:w="16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已通过</w:t>
            </w:r>
          </w:p>
        </w:tc>
        <w:tc>
          <w:tcPr>
            <w:tcW w:type="dxa" w:w="52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本金 3/3 正确；来源覆盖 100%；虚构事实 0</w:t>
            </w:r>
          </w:p>
        </w:tc>
      </w:tr>
      <w:tr>
        <w:trPr>
          <w:cantSplit/>
        </w:trPr>
        <w:tc>
          <w:tcPr>
            <w:tcW w:type="dxa" w:w="25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安全失败关闭</w:t>
            </w:r>
          </w:p>
        </w:tc>
        <w:tc>
          <w:tcPr>
            <w:tcW w:type="dxa" w:w="16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已通过</w:t>
            </w:r>
          </w:p>
        </w:tc>
        <w:tc>
          <w:tcPr>
            <w:tcW w:type="dxa" w:w="52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未授权、买方、非 CNY 配置、输出越界、加密/不支持文件、注入与 OCR 测试</w:t>
            </w:r>
          </w:p>
        </w:tc>
      </w:tr>
      <w:tr>
        <w:trPr>
          <w:cantSplit/>
        </w:trPr>
        <w:tc>
          <w:tcPr>
            <w:tcW w:type="dxa" w:w="25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开放格式兼容</w:t>
            </w:r>
          </w:p>
        </w:tc>
        <w:tc>
          <w:tcPr>
            <w:tcW w:type="dxa" w:w="16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已通过</w:t>
            </w:r>
          </w:p>
        </w:tc>
        <w:tc>
          <w:tcPr>
            <w:tcW w:type="dxa" w:w="52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两种目录布局 2/2；不等同于第二智能体真实运行</w:t>
            </w:r>
          </w:p>
        </w:tc>
      </w:tr>
      <w:tr>
        <w:trPr>
          <w:cantSplit/>
        </w:trPr>
        <w:tc>
          <w:tcPr>
            <w:tcW w:type="dxa" w:w="25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盲测评审材料</w:t>
            </w:r>
          </w:p>
        </w:tc>
        <w:tc>
          <w:tcPr>
            <w:tcW w:type="dxa" w:w="16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已完成</w:t>
            </w:r>
          </w:p>
        </w:tc>
        <w:tc>
          <w:tcPr>
            <w:tcW w:type="dxa" w:w="52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评审包与独立答案包分离，避免答案泄露</w:t>
            </w:r>
          </w:p>
        </w:tc>
      </w:tr>
      <w:tr>
        <w:trPr>
          <w:cantSplit/>
        </w:trPr>
        <w:tc>
          <w:tcPr>
            <w:tcW w:type="dxa" w:w="25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演示视频</w:t>
            </w:r>
          </w:p>
        </w:tc>
        <w:tc>
          <w:tcPr>
            <w:tcW w:type="dxa" w:w="16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已完成</w:t>
            </w:r>
          </w:p>
        </w:tc>
        <w:tc>
          <w:tcPr>
            <w:tcW w:type="dxa" w:w="52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00:04:00；10 页；仅使用合成材料和本地生成成果</w:t>
            </w:r>
          </w:p>
        </w:tc>
      </w:tr>
      <w:tr>
        <w:trPr>
          <w:cantSplit/>
        </w:trPr>
        <w:tc>
          <w:tcPr>
            <w:tcW w:type="dxa" w:w="25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律师规则批准</w:t>
            </w:r>
          </w:p>
        </w:tc>
        <w:tc>
          <w:tcPr>
            <w:tcW w:type="dxa" w:w="16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待完成</w:t>
            </w:r>
          </w:p>
        </w:tc>
        <w:tc>
          <w:tcPr>
            <w:tcW w:type="dxa" w:w="52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浙江执业律师确认 rules.json、法源及适用边界</w:t>
            </w:r>
          </w:p>
        </w:tc>
      </w:tr>
      <w:tr>
        <w:trPr>
          <w:cantSplit/>
        </w:trPr>
        <w:tc>
          <w:tcPr>
            <w:tcW w:type="dxa" w:w="25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律师两轮盲测</w:t>
            </w:r>
          </w:p>
        </w:tc>
        <w:tc>
          <w:tcPr>
            <w:tcW w:type="dxa" w:w="16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待完成</w:t>
            </w:r>
          </w:p>
        </w:tc>
        <w:tc>
          <w:tcPr>
            <w:tcW w:type="dxa" w:w="52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按《律师盲测与验收记录》填写并签记</w:t>
            </w:r>
          </w:p>
        </w:tc>
      </w:tr>
      <w:tr>
        <w:trPr>
          <w:cantSplit/>
        </w:trPr>
        <w:tc>
          <w:tcPr>
            <w:tcW w:type="dxa" w:w="25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第二智能体实跑</w:t>
            </w:r>
          </w:p>
        </w:tc>
        <w:tc>
          <w:tcPr>
            <w:tcW w:type="dxa" w:w="160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待完成</w:t>
            </w:r>
          </w:p>
        </w:tc>
        <w:tc>
          <w:tcPr>
            <w:tcW w:type="dxa" w:w="52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保存同一完整案核心流程的界面截图或日志</w:t>
            </w:r>
          </w:p>
        </w:tc>
      </w:tr>
    </w:tbl>
    <w:p>
      <w:pPr>
        <w:pStyle w:val="Heading1"/>
      </w:pPr>
      <w:r>
        <w:t>7. 声明与签名信息准备</w:t>
      </w:r>
    </w:p>
    <w:p>
      <w:r>
        <w:rPr>
          <w:rFonts w:ascii="Calibri" w:hAnsi="Calibri" w:eastAsia="Microsoft YaHei"/>
          <w:b w:val="0"/>
          <w:i w:val="0"/>
          <w:sz w:val="21"/>
        </w:rPr>
        <w:t>活动通知要求申报者就材料真实性及虚假申报责任作出书面声明或承诺。以下仅为准备提示，正式文本必须原样采用官方报名表：</w:t>
      </w:r>
    </w:p>
    <w:tbl>
      <w:tblPr>
        <w:tblW w:type="dxa" w:w="9360"/>
        <w:tblLayout w:type="fixed"/>
        <w:tblLook w:firstColumn="1" w:firstRow="1" w:lastColumn="0" w:lastRow="0" w:noHBand="0" w:noVBand="1" w:val="04A0"/>
        <w:tblInd w:w="120" w:type="dxa"/>
        <w:tblLayout w:type="fixed"/>
        <w:tblBorders>
          <w:top w:val="single" w:sz="4" w:color="D9DEE7"/>
          <w:left w:val="single" w:sz="4" w:color="D9DEE7"/>
          <w:bottom w:val="single" w:sz="4" w:color="D9DEE7"/>
          <w:right w:val="single" w:sz="4" w:color="D9DEE7"/>
          <w:insideH w:val="single" w:sz="4" w:color="D9DEE7"/>
          <w:insideV w:val="single" w:sz="4" w:color="D9DEE7"/>
        </w:tblBorders>
      </w:tblPr>
      <w:tblGrid>
        <w:gridCol w:w="2600"/>
        <w:gridCol w:w="6760"/>
      </w:tblGrid>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真实性承诺</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【待官方表述；全体成员核对后填写】</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知识产权/授权</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【确认 Skill、合成材料及引用内容的权属和授权】</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保密与数据合规</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【确认未提交真实客户材料或未授权信息】</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成员签名</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【取得官方表后由所有要求签名人员手写/合规电子签署】</w:t>
            </w:r>
          </w:p>
        </w:tc>
      </w:tr>
      <w:tr>
        <w:trPr>
          <w:cantSplit/>
        </w:trPr>
        <w:tc>
          <w:tcPr>
            <w:tcW w:type="dxa" w:w="2600"/>
            <w:shd w:fill="F2F4F7"/>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签署日期</w:t>
            </w:r>
          </w:p>
        </w:tc>
        <w:tc>
          <w:tcPr>
            <w:tcW w:type="dxa" w:w="6760"/>
            <w:vAlign w:val="center"/>
            <w:tcMar>
              <w:top w:w="90" w:type="dxa"/>
              <w:start w:w="120" w:type="dxa"/>
              <w:bottom w:w="90" w:type="dxa"/>
              <w:end w:w="120" w:type="dxa"/>
            </w:tcMar>
          </w:tcPr>
          <w:p>
            <w:pPr>
              <w:spacing w:after="30" w:line="264" w:lineRule="auto"/>
            </w:pPr>
            <w:r>
              <w:rPr>
                <w:rFonts w:ascii="Calibri" w:hAnsi="Calibri" w:eastAsia="Microsoft YaHei"/>
                <w:b w:val="0"/>
                <w:i w:val="0"/>
                <w:sz w:val="18"/>
              </w:rPr>
              <w:t>【年/月/日】</w:t>
            </w:r>
          </w:p>
        </w:tc>
      </w:tr>
    </w:tbl>
    <w:p>
      <w:pPr>
        <w:spacing w:before="80" w:after="160"/>
        <w:ind w:left="173"/>
        <w:shd w:fill="FFF4CE"/>
        <w:pBdr>
          <w:left w:val="single" w:sz="16" w:color="2E74B5" w:space="6"/>
        </w:pBdr>
      </w:pPr>
      <w:r>
        <w:rPr>
          <w:rFonts w:ascii="Calibri" w:hAnsi="Calibri" w:eastAsia="Microsoft YaHei"/>
          <w:b/>
          <w:i w:val="0"/>
          <w:color w:val="7A5A00"/>
          <w:sz w:val="21"/>
        </w:rPr>
        <w:t>投稿时须同时提交：官方报名表 Word（无需签名）和全体要求人员签名后的 PDF。邮件主题格式及附件要求以主办方最新技术文档为准。</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67085"/>
        <w:sz w:val="17"/>
      </w:rPr>
      <w:t xml:space="preserve">非官方模板  |  第 </w:t>
    </w:r>
    <w:r>
      <w:rPr>
        <w:rFonts w:ascii="Calibri" w:hAnsi="Calibri" w:eastAsia="Microsoft YaHei"/>
        <w:b w:val="0"/>
        <w:i w:val="0"/>
        <w:color w:val="667085"/>
        <w:sz w:val="17"/>
      </w:rPr>
      <w:fldChar w:fldCharType="begin"/>
      <w:instrText xml:space="preserve"> PAGE </w:instrText>
      <w:fldChar w:fldCharType="end"/>
    </w:r>
    <w:r>
      <w:rPr>
        <w:rFonts w:ascii="Calibri" w:hAnsi="Calibri" w:eastAsia="Microsoft YaHei"/>
        <w:b w:val="0"/>
        <w:i w:val="0"/>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YaHei"/>
        <w:b w:val="0"/>
        <w:i w:val="0"/>
        <w:color w:val="667085"/>
        <w:sz w:val="17"/>
      </w:rPr>
      <w:t>报名信息预填稿｜仅供转录至官方报名表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浙江省青年律师法律 AI Skill 征集报名信息预填稿（非官方）</dc:subject>
  <dc:creator>sale-payment-preflight 参赛团队</dc:creator>
  <cp:keywords/>
  <dc:description>generated by python-docx</dc:description>
  <cp:lastModifiedBy/>
  <cp:revision>1</cp:revision>
  <dcterms:created xsi:type="dcterms:W3CDTF">2013-12-23T23:15:00Z</dcterms:created>
  <dcterms:modified xsi:type="dcterms:W3CDTF">2013-12-23T23:15:00Z</dcterms:modified>
  <cp:category/>
</cp:coreProperties>
</file>