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1BDB7" w14:textId="77777777" w:rsidR="007A071F" w:rsidRPr="00AC4B7D" w:rsidRDefault="007A071F" w:rsidP="007A071F">
      <w:pPr>
        <w:pStyle w:val="whitespace-pre-wrap"/>
        <w:rPr>
          <w:sz w:val="32"/>
          <w:szCs w:val="32"/>
        </w:rPr>
      </w:pPr>
      <w:r w:rsidRPr="00AC4B7D">
        <w:rPr>
          <w:sz w:val="32"/>
          <w:szCs w:val="32"/>
        </w:rPr>
        <w:t xml:space="preserve">Thank </w:t>
      </w:r>
      <w:proofErr w:type="gramStart"/>
      <w:r w:rsidRPr="00AC4B7D">
        <w:rPr>
          <w:sz w:val="32"/>
          <w:szCs w:val="32"/>
        </w:rPr>
        <w:t>you Commissioners</w:t>
      </w:r>
      <w:proofErr w:type="gramEnd"/>
      <w:r w:rsidRPr="00AC4B7D">
        <w:rPr>
          <w:sz w:val="32"/>
          <w:szCs w:val="32"/>
        </w:rPr>
        <w:t xml:space="preserve"> for your time. Today, I come before you to discuss critical issues of governance and transparency in our community.</w:t>
      </w:r>
    </w:p>
    <w:p w14:paraId="1EC80547" w14:textId="77777777" w:rsidR="007A071F" w:rsidRPr="00AC4B7D" w:rsidRDefault="007A071F" w:rsidP="007A071F">
      <w:pPr>
        <w:pStyle w:val="whitespace-pre-wrap"/>
        <w:rPr>
          <w:sz w:val="32"/>
          <w:szCs w:val="32"/>
        </w:rPr>
      </w:pPr>
      <w:r w:rsidRPr="00AC4B7D">
        <w:rPr>
          <w:sz w:val="32"/>
          <w:szCs w:val="32"/>
        </w:rPr>
        <w:t>On April 4, 2024, Margaret McNulty, our tenant association president, was nominated for the Local Homeless Coordinating Board. Despite this, she had not yet been legally elected to a third term.</w:t>
      </w:r>
    </w:p>
    <w:p w14:paraId="7A7F2891" w14:textId="77777777" w:rsidR="007A071F" w:rsidRPr="00AC4B7D" w:rsidRDefault="007A071F" w:rsidP="007A071F">
      <w:pPr>
        <w:pStyle w:val="whitespace-pre-wrap"/>
        <w:rPr>
          <w:sz w:val="32"/>
          <w:szCs w:val="32"/>
        </w:rPr>
      </w:pPr>
      <w:r w:rsidRPr="00AC4B7D">
        <w:rPr>
          <w:sz w:val="32"/>
          <w:szCs w:val="32"/>
        </w:rPr>
        <w:t>Since 2022, CCSD has documented 18 points of compliance issues with Ms. McNulty, including her preventing a recall vote by causing a meeting to end prematurely.</w:t>
      </w:r>
    </w:p>
    <w:p w14:paraId="7B443038" w14:textId="77777777" w:rsidR="007A071F" w:rsidRPr="00AC4B7D" w:rsidRDefault="007A071F" w:rsidP="007A071F">
      <w:pPr>
        <w:pStyle w:val="whitespace-pre-wrap"/>
        <w:rPr>
          <w:sz w:val="32"/>
          <w:szCs w:val="32"/>
        </w:rPr>
      </w:pPr>
      <w:r w:rsidRPr="00AC4B7D">
        <w:rPr>
          <w:sz w:val="32"/>
          <w:szCs w:val="32"/>
        </w:rPr>
        <w:t>Ms. McNulty's proposed Residents Council of Advisors plan misinterprets federal regulations. The Code of Federal Regulations, Part 24, is designed to protect resident rights, not to grant unilateral fund distribution to association leadership.</w:t>
      </w:r>
    </w:p>
    <w:p w14:paraId="01FAC39E" w14:textId="77777777" w:rsidR="007A071F" w:rsidRPr="00AC4B7D" w:rsidRDefault="007A071F" w:rsidP="007A071F">
      <w:pPr>
        <w:pStyle w:val="whitespace-pre-wrap"/>
        <w:rPr>
          <w:sz w:val="32"/>
          <w:szCs w:val="32"/>
        </w:rPr>
      </w:pPr>
      <w:r w:rsidRPr="00AC4B7D">
        <w:rPr>
          <w:sz w:val="32"/>
          <w:szCs w:val="32"/>
        </w:rPr>
        <w:t>On May 14, 2024, she issued a meeting notice that violated transparency laws:</w:t>
      </w:r>
    </w:p>
    <w:p w14:paraId="0C2F2DD6" w14:textId="77777777" w:rsidR="007A071F" w:rsidRPr="00AC4B7D" w:rsidRDefault="007A071F" w:rsidP="007A071F">
      <w:pPr>
        <w:pStyle w:val="whitespace-pre-wrap"/>
        <w:rPr>
          <w:sz w:val="32"/>
          <w:szCs w:val="32"/>
        </w:rPr>
      </w:pPr>
      <w:r w:rsidRPr="00AC4B7D">
        <w:rPr>
          <w:sz w:val="32"/>
          <w:szCs w:val="32"/>
        </w:rPr>
        <w:t>"All voting members of the resident community must be given sufficient notice (at least 30 days) for nomination and election. The notice should include a description of election procedures, eligibility requirements, and dates of nominations and elections."</w:t>
      </w:r>
    </w:p>
    <w:p w14:paraId="08FE2F62" w14:textId="77777777" w:rsidR="007A071F" w:rsidRPr="00AC4B7D" w:rsidRDefault="007A071F" w:rsidP="007A071F">
      <w:pPr>
        <w:pStyle w:val="whitespace-pre-wrap"/>
        <w:rPr>
          <w:sz w:val="32"/>
          <w:szCs w:val="32"/>
        </w:rPr>
      </w:pPr>
      <w:r w:rsidRPr="00AC4B7D">
        <w:rPr>
          <w:sz w:val="32"/>
          <w:szCs w:val="32"/>
        </w:rPr>
        <w:t>This breaches the Brown Act, Sunshine Act, and specific federal regulatory requirements.</w:t>
      </w:r>
    </w:p>
    <w:p w14:paraId="1A6C7565" w14:textId="77777777" w:rsidR="007A071F" w:rsidRPr="00AC4B7D" w:rsidRDefault="007A071F" w:rsidP="007A071F">
      <w:pPr>
        <w:pStyle w:val="whitespace-pre-wrap"/>
        <w:rPr>
          <w:sz w:val="32"/>
          <w:szCs w:val="32"/>
        </w:rPr>
      </w:pPr>
      <w:r w:rsidRPr="00AC4B7D">
        <w:rPr>
          <w:sz w:val="32"/>
          <w:szCs w:val="32"/>
        </w:rPr>
        <w:t>To promote transparency, tenants have established a website providing open access to all relevant association information.</w:t>
      </w:r>
    </w:p>
    <w:p w14:paraId="4DE0741E" w14:textId="77777777" w:rsidR="007A071F" w:rsidRPr="007A071F" w:rsidRDefault="007A071F" w:rsidP="007A071F">
      <w:pPr>
        <w:pStyle w:val="whitespace-pre-wrap"/>
        <w:rPr>
          <w:sz w:val="28"/>
          <w:szCs w:val="28"/>
        </w:rPr>
      </w:pPr>
      <w:r w:rsidRPr="00AC4B7D">
        <w:rPr>
          <w:sz w:val="32"/>
          <w:szCs w:val="32"/>
        </w:rPr>
        <w:t>Thank you for your attention to these governance concerns</w:t>
      </w:r>
      <w:r w:rsidRPr="007A071F">
        <w:rPr>
          <w:sz w:val="28"/>
          <w:szCs w:val="28"/>
        </w:rPr>
        <w:t>.</w:t>
      </w:r>
    </w:p>
    <w:p w14:paraId="0FB078D9" w14:textId="77777777" w:rsidR="007A071F" w:rsidRPr="007A071F" w:rsidRDefault="007A071F">
      <w:pPr>
        <w:spacing w:after="0"/>
        <w:rPr>
          <w:rFonts w:eastAsia="Times New Roman" w:cs="Times New Roman"/>
          <w:kern w:val="0"/>
          <w:sz w:val="28"/>
          <w:szCs w:val="28"/>
          <w14:ligatures w14:val="none"/>
        </w:rPr>
      </w:pPr>
      <w:r w:rsidRPr="007A071F">
        <w:rPr>
          <w:sz w:val="28"/>
          <w:szCs w:val="28"/>
        </w:rPr>
        <w:br w:type="page"/>
      </w:r>
    </w:p>
    <w:p w14:paraId="1BB65052" w14:textId="2E947099" w:rsidR="007A071F" w:rsidRPr="007A071F" w:rsidRDefault="007A071F" w:rsidP="007A071F">
      <w:pPr>
        <w:pStyle w:val="whitespace-pre-wrap"/>
        <w:rPr>
          <w:sz w:val="28"/>
          <w:szCs w:val="28"/>
        </w:rPr>
      </w:pPr>
      <w:r w:rsidRPr="007A071F">
        <w:rPr>
          <w:sz w:val="28"/>
          <w:szCs w:val="28"/>
        </w:rPr>
        <w:lastRenderedPageBreak/>
        <w:t xml:space="preserve">Thank </w:t>
      </w:r>
      <w:proofErr w:type="gramStart"/>
      <w:r w:rsidRPr="007A071F">
        <w:rPr>
          <w:sz w:val="28"/>
          <w:szCs w:val="28"/>
        </w:rPr>
        <w:t>you Commissioners</w:t>
      </w:r>
      <w:proofErr w:type="gramEnd"/>
      <w:r w:rsidRPr="007A071F">
        <w:rPr>
          <w:sz w:val="28"/>
          <w:szCs w:val="28"/>
        </w:rPr>
        <w:t xml:space="preserve"> for your time today. Today, I come before you to discuss critical issues of governance, transparency, and the importance of following established regulatory procedures in our community.</w:t>
      </w:r>
    </w:p>
    <w:p w14:paraId="3C34156F" w14:textId="77777777" w:rsidR="007A071F" w:rsidRPr="007A071F" w:rsidRDefault="007A071F" w:rsidP="007A071F">
      <w:pPr>
        <w:pStyle w:val="whitespace-pre-wrap"/>
        <w:rPr>
          <w:sz w:val="28"/>
          <w:szCs w:val="28"/>
        </w:rPr>
      </w:pPr>
      <w:r w:rsidRPr="007A071F">
        <w:rPr>
          <w:sz w:val="28"/>
          <w:szCs w:val="28"/>
        </w:rPr>
        <w:t>On April 4, 2024, Margaret McNulty, the president of our tenant association, was nominated for seat 11 on the Local Homeless Coordinating Board. At the time, I was a board member of her tenant association, and I'm deeply concerned about the subsequent events that highlight significant procedural irregularities.</w:t>
      </w:r>
    </w:p>
    <w:p w14:paraId="35270D48" w14:textId="77777777" w:rsidR="007A071F" w:rsidRPr="007A071F" w:rsidRDefault="007A071F" w:rsidP="007A071F">
      <w:pPr>
        <w:pStyle w:val="whitespace-pre-wrap"/>
        <w:rPr>
          <w:sz w:val="28"/>
          <w:szCs w:val="28"/>
        </w:rPr>
      </w:pPr>
      <w:r w:rsidRPr="007A071F">
        <w:rPr>
          <w:sz w:val="28"/>
          <w:szCs w:val="28"/>
        </w:rPr>
        <w:t>The board was unaware of McNulty's nomination. Moreover, McNulty had not yet been legally elected to a third term, which would not occur until June 2024.</w:t>
      </w:r>
    </w:p>
    <w:p w14:paraId="36354159" w14:textId="77777777" w:rsidR="007A071F" w:rsidRPr="007A071F" w:rsidRDefault="007A071F" w:rsidP="007A071F">
      <w:pPr>
        <w:pStyle w:val="whitespace-pre-wrap"/>
        <w:rPr>
          <w:sz w:val="28"/>
          <w:szCs w:val="28"/>
        </w:rPr>
      </w:pPr>
      <w:r w:rsidRPr="007A071F">
        <w:rPr>
          <w:sz w:val="28"/>
          <w:szCs w:val="28"/>
        </w:rPr>
        <w:t>Since 2022, CCSD has been working to address serious compliance issues with Ms. McNulty. In April 2024, they had compiled 18 points of cause for her recall. Notably, McNulty's actions prevented a vote on this matter by causing the meeting to end prematurely.</w:t>
      </w:r>
    </w:p>
    <w:p w14:paraId="3418C408" w14:textId="77777777" w:rsidR="007A071F" w:rsidRPr="007A071F" w:rsidRDefault="007A071F" w:rsidP="007A071F">
      <w:pPr>
        <w:pStyle w:val="whitespace-pre-wrap"/>
        <w:rPr>
          <w:sz w:val="28"/>
          <w:szCs w:val="28"/>
        </w:rPr>
      </w:pPr>
      <w:r w:rsidRPr="007A071F">
        <w:rPr>
          <w:sz w:val="28"/>
          <w:szCs w:val="28"/>
        </w:rPr>
        <w:t>Ms. McNulty has proposed a Residents Council of Advisors plan, ostensibly to improve resident representation. However, a careful review reveals a fundamental misunderstanding of federal regulations. The Code of Federal Regulations, Part 24, is designed to protect resident rights, not to empower a single leader to unilaterally distribute association and technology funds.</w:t>
      </w:r>
    </w:p>
    <w:p w14:paraId="3525326F" w14:textId="77777777" w:rsidR="007A071F" w:rsidRPr="007A071F" w:rsidRDefault="007A071F" w:rsidP="007A071F">
      <w:pPr>
        <w:pStyle w:val="whitespace-pre-wrap"/>
        <w:rPr>
          <w:sz w:val="28"/>
          <w:szCs w:val="28"/>
        </w:rPr>
      </w:pPr>
      <w:r w:rsidRPr="007A071F">
        <w:rPr>
          <w:sz w:val="28"/>
          <w:szCs w:val="28"/>
        </w:rPr>
        <w:t>On May 14, 2024, Ms. McNulty issued a flier announcing a nomination meeting on May 28 and an election on June 26. This notice violated multiple transparency laws:</w:t>
      </w:r>
    </w:p>
    <w:p w14:paraId="6F0CA9C2" w14:textId="77777777" w:rsidR="007A071F" w:rsidRPr="007A071F" w:rsidRDefault="007A071F" w:rsidP="007A071F">
      <w:pPr>
        <w:pStyle w:val="whitespace-pre-wrap"/>
        <w:rPr>
          <w:sz w:val="28"/>
          <w:szCs w:val="28"/>
        </w:rPr>
      </w:pPr>
      <w:r w:rsidRPr="007A071F">
        <w:rPr>
          <w:sz w:val="28"/>
          <w:szCs w:val="28"/>
        </w:rPr>
        <w:t>"All voting members of the resident community must be given sufficient notice (at least 30 days) for nomination and election. The notice should include a description of election procedures, eligibility requirements, and dates of nominations and elections."</w:t>
      </w:r>
    </w:p>
    <w:p w14:paraId="53D964B9" w14:textId="77777777" w:rsidR="007A071F" w:rsidRPr="007A071F" w:rsidRDefault="007A071F" w:rsidP="007A071F">
      <w:pPr>
        <w:pStyle w:val="whitespace-pre-wrap"/>
        <w:rPr>
          <w:sz w:val="28"/>
          <w:szCs w:val="28"/>
        </w:rPr>
      </w:pPr>
      <w:r w:rsidRPr="007A071F">
        <w:rPr>
          <w:sz w:val="28"/>
          <w:szCs w:val="28"/>
        </w:rPr>
        <w:t>This breach contravenes the Brown Act, the Sunshine Act, and specifically the Code of Federal Regulations Title 24, Subtitle B, Chapter 9, part 964, Subpart B, Sec. 964.130/a/5.</w:t>
      </w:r>
    </w:p>
    <w:p w14:paraId="55F9E09A" w14:textId="77777777" w:rsidR="007A071F" w:rsidRPr="007A071F" w:rsidRDefault="007A071F" w:rsidP="007A071F">
      <w:pPr>
        <w:pStyle w:val="whitespace-pre-wrap"/>
        <w:rPr>
          <w:sz w:val="28"/>
          <w:szCs w:val="28"/>
        </w:rPr>
      </w:pPr>
      <w:r w:rsidRPr="007A071F">
        <w:rPr>
          <w:sz w:val="28"/>
          <w:szCs w:val="28"/>
        </w:rPr>
        <w:t>To promote transparency, a group of tenants has established a website to provide open access to all relevant tenant association information.</w:t>
      </w:r>
    </w:p>
    <w:p w14:paraId="1915A24F" w14:textId="196FC2F4" w:rsidR="00F56924" w:rsidRDefault="007A071F" w:rsidP="007A071F">
      <w:pPr>
        <w:pStyle w:val="whitespace-pre-wrap"/>
        <w:rPr>
          <w:sz w:val="28"/>
          <w:szCs w:val="28"/>
        </w:rPr>
      </w:pPr>
      <w:r w:rsidRPr="007A071F">
        <w:rPr>
          <w:sz w:val="28"/>
          <w:szCs w:val="28"/>
        </w:rPr>
        <w:t>Thank you for your time and attention to these critical governance issues.</w:t>
      </w:r>
    </w:p>
    <w:p w14:paraId="6F96B6EC" w14:textId="77777777" w:rsidR="00F56924" w:rsidRDefault="00F56924">
      <w:pPr>
        <w:spacing w:after="0"/>
        <w:rPr>
          <w:rFonts w:eastAsia="Times New Roman" w:cs="Times New Roman"/>
          <w:kern w:val="0"/>
          <w:sz w:val="28"/>
          <w:szCs w:val="28"/>
          <w14:ligatures w14:val="none"/>
        </w:rPr>
      </w:pPr>
      <w:r>
        <w:rPr>
          <w:sz w:val="28"/>
          <w:szCs w:val="28"/>
        </w:rPr>
        <w:br w:type="page"/>
      </w:r>
    </w:p>
    <w:tbl>
      <w:tblPr>
        <w:tblStyle w:val="TableGrid"/>
        <w:tblW w:w="20825" w:type="dxa"/>
        <w:tblInd w:w="-5" w:type="dxa"/>
        <w:tblLook w:val="04A0" w:firstRow="1" w:lastRow="0" w:firstColumn="1" w:lastColumn="0" w:noHBand="0" w:noVBand="1"/>
      </w:tblPr>
      <w:tblGrid>
        <w:gridCol w:w="3116"/>
        <w:gridCol w:w="3117"/>
        <w:gridCol w:w="1334"/>
        <w:gridCol w:w="1783"/>
        <w:gridCol w:w="2060"/>
        <w:gridCol w:w="3843"/>
        <w:gridCol w:w="2786"/>
        <w:gridCol w:w="2786"/>
      </w:tblGrid>
      <w:tr w:rsidR="00F56924" w:rsidRPr="00F56924" w14:paraId="2978C6A3" w14:textId="77777777" w:rsidTr="00220216">
        <w:tc>
          <w:tcPr>
            <w:tcW w:w="7567" w:type="dxa"/>
            <w:gridSpan w:val="3"/>
            <w:hideMark/>
          </w:tcPr>
          <w:p w14:paraId="16A7B764"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Republican</w:t>
            </w:r>
          </w:p>
        </w:tc>
        <w:tc>
          <w:tcPr>
            <w:tcW w:w="3843" w:type="dxa"/>
            <w:gridSpan w:val="2"/>
            <w:hideMark/>
          </w:tcPr>
          <w:p w14:paraId="3B33421B"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149</w:t>
            </w:r>
          </w:p>
        </w:tc>
        <w:tc>
          <w:tcPr>
            <w:tcW w:w="3843" w:type="dxa"/>
            <w:hideMark/>
          </w:tcPr>
          <w:p w14:paraId="387BEA4A"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71</w:t>
            </w:r>
          </w:p>
        </w:tc>
        <w:tc>
          <w:tcPr>
            <w:tcW w:w="2786" w:type="dxa"/>
            <w:hideMark/>
          </w:tcPr>
          <w:p w14:paraId="04D7E29E"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0</w:t>
            </w:r>
          </w:p>
        </w:tc>
        <w:tc>
          <w:tcPr>
            <w:tcW w:w="2786" w:type="dxa"/>
            <w:hideMark/>
          </w:tcPr>
          <w:p w14:paraId="691D70AF"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2</w:t>
            </w:r>
          </w:p>
        </w:tc>
      </w:tr>
      <w:tr w:rsidR="00F56924" w:rsidRPr="00F56924" w14:paraId="7038EE20" w14:textId="77777777" w:rsidTr="00220216">
        <w:tc>
          <w:tcPr>
            <w:tcW w:w="7567" w:type="dxa"/>
            <w:gridSpan w:val="3"/>
            <w:hideMark/>
          </w:tcPr>
          <w:p w14:paraId="1969259F"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Democratic</w:t>
            </w:r>
          </w:p>
        </w:tc>
        <w:tc>
          <w:tcPr>
            <w:tcW w:w="3843" w:type="dxa"/>
            <w:gridSpan w:val="2"/>
            <w:hideMark/>
          </w:tcPr>
          <w:p w14:paraId="71D50665"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165</w:t>
            </w:r>
          </w:p>
        </w:tc>
        <w:tc>
          <w:tcPr>
            <w:tcW w:w="3843" w:type="dxa"/>
            <w:hideMark/>
          </w:tcPr>
          <w:p w14:paraId="14635564"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46</w:t>
            </w:r>
          </w:p>
        </w:tc>
        <w:tc>
          <w:tcPr>
            <w:tcW w:w="2786" w:type="dxa"/>
            <w:hideMark/>
          </w:tcPr>
          <w:p w14:paraId="41CFAB2E"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0</w:t>
            </w:r>
          </w:p>
        </w:tc>
        <w:tc>
          <w:tcPr>
            <w:tcW w:w="2786" w:type="dxa"/>
            <w:hideMark/>
          </w:tcPr>
          <w:p w14:paraId="56E6D2FC"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2</w:t>
            </w:r>
          </w:p>
        </w:tc>
      </w:tr>
      <w:tr w:rsidR="00F56924" w:rsidRPr="00F56924" w14:paraId="3D1F7EB0" w14:textId="77777777" w:rsidTr="00220216">
        <w:tc>
          <w:tcPr>
            <w:tcW w:w="7567" w:type="dxa"/>
            <w:gridSpan w:val="3"/>
            <w:hideMark/>
          </w:tcPr>
          <w:p w14:paraId="531446FF"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Independent</w:t>
            </w:r>
          </w:p>
        </w:tc>
        <w:tc>
          <w:tcPr>
            <w:tcW w:w="3843" w:type="dxa"/>
            <w:gridSpan w:val="2"/>
            <w:hideMark/>
          </w:tcPr>
          <w:p w14:paraId="4BF48AC3"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0</w:t>
            </w:r>
          </w:p>
        </w:tc>
        <w:tc>
          <w:tcPr>
            <w:tcW w:w="3843" w:type="dxa"/>
            <w:hideMark/>
          </w:tcPr>
          <w:p w14:paraId="7F7C4AC7"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0</w:t>
            </w:r>
          </w:p>
        </w:tc>
        <w:tc>
          <w:tcPr>
            <w:tcW w:w="2786" w:type="dxa"/>
            <w:hideMark/>
          </w:tcPr>
          <w:p w14:paraId="5E4DC2BB"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0</w:t>
            </w:r>
          </w:p>
        </w:tc>
        <w:tc>
          <w:tcPr>
            <w:tcW w:w="2786" w:type="dxa"/>
            <w:hideMark/>
          </w:tcPr>
          <w:p w14:paraId="6834654F"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0</w:t>
            </w:r>
          </w:p>
        </w:tc>
      </w:tr>
      <w:tr w:rsidR="00F56924" w:rsidRPr="00F56924" w14:paraId="4E5DAACE" w14:textId="77777777" w:rsidTr="00220216">
        <w:tc>
          <w:tcPr>
            <w:tcW w:w="7567" w:type="dxa"/>
            <w:gridSpan w:val="3"/>
            <w:hideMark/>
          </w:tcPr>
          <w:p w14:paraId="7C4BEA7E"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Total</w:t>
            </w:r>
          </w:p>
        </w:tc>
        <w:tc>
          <w:tcPr>
            <w:tcW w:w="3843" w:type="dxa"/>
            <w:gridSpan w:val="2"/>
            <w:hideMark/>
          </w:tcPr>
          <w:p w14:paraId="076FEBB2"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314</w:t>
            </w:r>
          </w:p>
        </w:tc>
        <w:tc>
          <w:tcPr>
            <w:tcW w:w="3843" w:type="dxa"/>
            <w:hideMark/>
          </w:tcPr>
          <w:p w14:paraId="6BB1D22B"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117</w:t>
            </w:r>
          </w:p>
        </w:tc>
        <w:tc>
          <w:tcPr>
            <w:tcW w:w="2786" w:type="dxa"/>
            <w:hideMark/>
          </w:tcPr>
          <w:p w14:paraId="1FD8B8E7" w14:textId="77777777" w:rsidR="00F56924" w:rsidRPr="00F56924" w:rsidRDefault="00F56924" w:rsidP="00F56924">
            <w:pPr>
              <w:spacing w:after="0"/>
              <w:rPr>
                <w:rFonts w:ascii="Arial" w:eastAsia="Times New Roman" w:hAnsi="Arial" w:cs="Arial"/>
                <w:color w:val="333333"/>
                <w:spacing w:val="7"/>
                <w:kern w:val="0"/>
                <w14:ligatures w14:val="none"/>
              </w:rPr>
            </w:pPr>
            <w:r w:rsidRPr="00F56924">
              <w:rPr>
                <w:rFonts w:ascii="Arial" w:eastAsia="Times New Roman" w:hAnsi="Arial" w:cs="Arial"/>
                <w:color w:val="333333"/>
                <w:spacing w:val="7"/>
                <w:kern w:val="0"/>
                <w14:ligatures w14:val="none"/>
              </w:rPr>
              <w:t>0</w:t>
            </w:r>
          </w:p>
        </w:tc>
        <w:tc>
          <w:tcPr>
            <w:tcW w:w="0" w:type="auto"/>
            <w:hideMark/>
          </w:tcPr>
          <w:p w14:paraId="583A445E" w14:textId="77777777" w:rsidR="00F56924" w:rsidRPr="00F56924" w:rsidRDefault="00F56924" w:rsidP="00F56924">
            <w:pPr>
              <w:spacing w:after="0"/>
              <w:rPr>
                <w:rFonts w:eastAsia="Times New Roman" w:cs="Times New Roman"/>
                <w:kern w:val="0"/>
                <w:sz w:val="20"/>
                <w:szCs w:val="20"/>
                <w14:ligatures w14:val="none"/>
              </w:rPr>
            </w:pPr>
          </w:p>
        </w:tc>
      </w:tr>
      <w:tr w:rsidR="00220216" w:rsidRPr="00220216" w14:paraId="4B2E9603" w14:textId="77777777" w:rsidTr="00220216">
        <w:trPr>
          <w:gridAfter w:val="4"/>
          <w:wAfter w:w="11470" w:type="dxa"/>
        </w:trPr>
        <w:tc>
          <w:tcPr>
            <w:tcW w:w="3116" w:type="dxa"/>
          </w:tcPr>
          <w:p w14:paraId="5436184D" w14:textId="77777777" w:rsidR="00220216" w:rsidRPr="00220216" w:rsidRDefault="00220216" w:rsidP="00A73533">
            <w:pPr>
              <w:pStyle w:val="whitespace-pre-wrap"/>
              <w:rPr>
                <w:sz w:val="28"/>
                <w:szCs w:val="28"/>
              </w:rPr>
            </w:pPr>
            <w:r w:rsidRPr="00220216">
              <w:rPr>
                <w:sz w:val="28"/>
                <w:szCs w:val="28"/>
              </w:rPr>
              <w:t>Party</w:t>
            </w:r>
          </w:p>
        </w:tc>
        <w:tc>
          <w:tcPr>
            <w:tcW w:w="3117" w:type="dxa"/>
          </w:tcPr>
          <w:p w14:paraId="3A4F354A" w14:textId="77777777" w:rsidR="00220216" w:rsidRPr="00220216" w:rsidRDefault="00220216" w:rsidP="00A73533">
            <w:pPr>
              <w:pStyle w:val="whitespace-pre-wrap"/>
              <w:rPr>
                <w:sz w:val="28"/>
                <w:szCs w:val="28"/>
              </w:rPr>
            </w:pPr>
            <w:r w:rsidRPr="00220216">
              <w:rPr>
                <w:sz w:val="28"/>
                <w:szCs w:val="28"/>
              </w:rPr>
              <w:t>Yes</w:t>
            </w:r>
          </w:p>
        </w:tc>
        <w:tc>
          <w:tcPr>
            <w:tcW w:w="3117" w:type="dxa"/>
            <w:gridSpan w:val="2"/>
          </w:tcPr>
          <w:p w14:paraId="0BBC2044" w14:textId="77777777" w:rsidR="00220216" w:rsidRPr="00220216" w:rsidRDefault="00220216" w:rsidP="00A73533">
            <w:pPr>
              <w:pStyle w:val="whitespace-pre-wrap"/>
              <w:rPr>
                <w:sz w:val="28"/>
                <w:szCs w:val="28"/>
              </w:rPr>
            </w:pPr>
            <w:r w:rsidRPr="00220216">
              <w:rPr>
                <w:sz w:val="28"/>
                <w:szCs w:val="28"/>
              </w:rPr>
              <w:t>No</w:t>
            </w:r>
          </w:p>
        </w:tc>
      </w:tr>
      <w:tr w:rsidR="00220216" w:rsidRPr="00220216" w14:paraId="4EC4F413" w14:textId="77777777" w:rsidTr="00220216">
        <w:trPr>
          <w:gridAfter w:val="4"/>
          <w:wAfter w:w="11470" w:type="dxa"/>
        </w:trPr>
        <w:tc>
          <w:tcPr>
            <w:tcW w:w="3116" w:type="dxa"/>
          </w:tcPr>
          <w:p w14:paraId="553DCB9A" w14:textId="77777777" w:rsidR="00220216" w:rsidRPr="00220216" w:rsidRDefault="00220216" w:rsidP="00A73533">
            <w:pPr>
              <w:pStyle w:val="whitespace-pre-wrap"/>
              <w:rPr>
                <w:sz w:val="28"/>
                <w:szCs w:val="28"/>
              </w:rPr>
            </w:pPr>
            <w:r w:rsidRPr="00220216">
              <w:rPr>
                <w:sz w:val="28"/>
                <w:szCs w:val="28"/>
              </w:rPr>
              <w:t>Republican</w:t>
            </w:r>
          </w:p>
        </w:tc>
        <w:tc>
          <w:tcPr>
            <w:tcW w:w="3117" w:type="dxa"/>
          </w:tcPr>
          <w:p w14:paraId="3EB8BCF8" w14:textId="77777777" w:rsidR="00220216" w:rsidRPr="00220216" w:rsidRDefault="00220216" w:rsidP="00A73533">
            <w:pPr>
              <w:pStyle w:val="whitespace-pre-wrap"/>
              <w:rPr>
                <w:sz w:val="28"/>
                <w:szCs w:val="28"/>
              </w:rPr>
            </w:pPr>
            <w:r w:rsidRPr="00220216">
              <w:rPr>
                <w:sz w:val="28"/>
                <w:szCs w:val="28"/>
              </w:rPr>
              <w:t>149</w:t>
            </w:r>
          </w:p>
        </w:tc>
        <w:tc>
          <w:tcPr>
            <w:tcW w:w="3117" w:type="dxa"/>
            <w:gridSpan w:val="2"/>
          </w:tcPr>
          <w:p w14:paraId="503650C2" w14:textId="77777777" w:rsidR="00220216" w:rsidRPr="00220216" w:rsidRDefault="00220216" w:rsidP="00A73533">
            <w:pPr>
              <w:pStyle w:val="whitespace-pre-wrap"/>
              <w:rPr>
                <w:sz w:val="28"/>
                <w:szCs w:val="28"/>
              </w:rPr>
            </w:pPr>
            <w:r w:rsidRPr="00220216">
              <w:rPr>
                <w:sz w:val="28"/>
                <w:szCs w:val="28"/>
              </w:rPr>
              <w:t>71</w:t>
            </w:r>
          </w:p>
        </w:tc>
      </w:tr>
      <w:tr w:rsidR="00220216" w:rsidRPr="00220216" w14:paraId="2231391C" w14:textId="77777777" w:rsidTr="00220216">
        <w:trPr>
          <w:gridAfter w:val="4"/>
          <w:wAfter w:w="11470" w:type="dxa"/>
        </w:trPr>
        <w:tc>
          <w:tcPr>
            <w:tcW w:w="3116" w:type="dxa"/>
          </w:tcPr>
          <w:p w14:paraId="74D44F52" w14:textId="77777777" w:rsidR="00220216" w:rsidRPr="00220216" w:rsidRDefault="00220216" w:rsidP="00A73533">
            <w:pPr>
              <w:pStyle w:val="whitespace-pre-wrap"/>
              <w:rPr>
                <w:sz w:val="28"/>
                <w:szCs w:val="28"/>
              </w:rPr>
            </w:pPr>
            <w:r w:rsidRPr="00220216">
              <w:rPr>
                <w:sz w:val="28"/>
                <w:szCs w:val="28"/>
              </w:rPr>
              <w:t>Democratic</w:t>
            </w:r>
          </w:p>
        </w:tc>
        <w:tc>
          <w:tcPr>
            <w:tcW w:w="3117" w:type="dxa"/>
          </w:tcPr>
          <w:p w14:paraId="0FF3F580" w14:textId="77777777" w:rsidR="00220216" w:rsidRPr="00220216" w:rsidRDefault="00220216" w:rsidP="00A73533">
            <w:pPr>
              <w:pStyle w:val="whitespace-pre-wrap"/>
              <w:rPr>
                <w:sz w:val="28"/>
                <w:szCs w:val="28"/>
              </w:rPr>
            </w:pPr>
            <w:r w:rsidRPr="00220216">
              <w:rPr>
                <w:sz w:val="28"/>
                <w:szCs w:val="28"/>
              </w:rPr>
              <w:t>165</w:t>
            </w:r>
          </w:p>
        </w:tc>
        <w:tc>
          <w:tcPr>
            <w:tcW w:w="3117" w:type="dxa"/>
            <w:gridSpan w:val="2"/>
          </w:tcPr>
          <w:p w14:paraId="1D1DFAF5" w14:textId="77777777" w:rsidR="00220216" w:rsidRPr="00220216" w:rsidRDefault="00220216" w:rsidP="00A73533">
            <w:pPr>
              <w:pStyle w:val="whitespace-pre-wrap"/>
              <w:rPr>
                <w:sz w:val="28"/>
                <w:szCs w:val="28"/>
              </w:rPr>
            </w:pPr>
            <w:r w:rsidRPr="00220216">
              <w:rPr>
                <w:sz w:val="28"/>
                <w:szCs w:val="28"/>
              </w:rPr>
              <w:t>46</w:t>
            </w:r>
          </w:p>
        </w:tc>
      </w:tr>
      <w:tr w:rsidR="00220216" w:rsidRPr="00220216" w14:paraId="04765084" w14:textId="77777777" w:rsidTr="00220216">
        <w:trPr>
          <w:gridAfter w:val="4"/>
          <w:wAfter w:w="11470" w:type="dxa"/>
        </w:trPr>
        <w:tc>
          <w:tcPr>
            <w:tcW w:w="3116" w:type="dxa"/>
          </w:tcPr>
          <w:p w14:paraId="5568B22D" w14:textId="77777777" w:rsidR="00220216" w:rsidRPr="00220216" w:rsidRDefault="00220216" w:rsidP="00A73533">
            <w:pPr>
              <w:pStyle w:val="whitespace-pre-wrap"/>
              <w:rPr>
                <w:sz w:val="28"/>
                <w:szCs w:val="28"/>
              </w:rPr>
            </w:pPr>
            <w:r w:rsidRPr="00220216">
              <w:rPr>
                <w:sz w:val="28"/>
                <w:szCs w:val="28"/>
              </w:rPr>
              <w:t>Independent</w:t>
            </w:r>
          </w:p>
        </w:tc>
        <w:tc>
          <w:tcPr>
            <w:tcW w:w="3117" w:type="dxa"/>
          </w:tcPr>
          <w:p w14:paraId="2C883B5F" w14:textId="77777777" w:rsidR="00220216" w:rsidRPr="00220216" w:rsidRDefault="00220216" w:rsidP="00A73533">
            <w:pPr>
              <w:pStyle w:val="whitespace-pre-wrap"/>
              <w:rPr>
                <w:sz w:val="28"/>
                <w:szCs w:val="28"/>
              </w:rPr>
            </w:pPr>
            <w:r w:rsidRPr="00220216">
              <w:rPr>
                <w:sz w:val="28"/>
                <w:szCs w:val="28"/>
              </w:rPr>
              <w:t>0</w:t>
            </w:r>
          </w:p>
        </w:tc>
        <w:tc>
          <w:tcPr>
            <w:tcW w:w="3117" w:type="dxa"/>
            <w:gridSpan w:val="2"/>
          </w:tcPr>
          <w:p w14:paraId="015A68E2" w14:textId="77777777" w:rsidR="00220216" w:rsidRPr="00220216" w:rsidRDefault="00220216" w:rsidP="00A73533">
            <w:pPr>
              <w:pStyle w:val="whitespace-pre-wrap"/>
              <w:rPr>
                <w:sz w:val="28"/>
                <w:szCs w:val="28"/>
              </w:rPr>
            </w:pPr>
            <w:r w:rsidRPr="00220216">
              <w:rPr>
                <w:sz w:val="28"/>
                <w:szCs w:val="28"/>
              </w:rPr>
              <w:t>0</w:t>
            </w:r>
          </w:p>
        </w:tc>
      </w:tr>
      <w:tr w:rsidR="00220216" w:rsidRPr="007A071F" w14:paraId="3CB21F08" w14:textId="77777777" w:rsidTr="00220216">
        <w:trPr>
          <w:gridAfter w:val="4"/>
          <w:wAfter w:w="11470" w:type="dxa"/>
        </w:trPr>
        <w:tc>
          <w:tcPr>
            <w:tcW w:w="3116" w:type="dxa"/>
          </w:tcPr>
          <w:p w14:paraId="49FB8416" w14:textId="77777777" w:rsidR="00220216" w:rsidRPr="00220216" w:rsidRDefault="00220216" w:rsidP="00A73533">
            <w:pPr>
              <w:pStyle w:val="whitespace-pre-wrap"/>
              <w:rPr>
                <w:sz w:val="28"/>
                <w:szCs w:val="28"/>
              </w:rPr>
            </w:pPr>
            <w:r w:rsidRPr="00220216">
              <w:rPr>
                <w:sz w:val="28"/>
                <w:szCs w:val="28"/>
              </w:rPr>
              <w:t>Total</w:t>
            </w:r>
          </w:p>
        </w:tc>
        <w:tc>
          <w:tcPr>
            <w:tcW w:w="3117" w:type="dxa"/>
          </w:tcPr>
          <w:p w14:paraId="510724CF" w14:textId="77777777" w:rsidR="00220216" w:rsidRPr="00220216" w:rsidRDefault="00220216" w:rsidP="00A73533">
            <w:pPr>
              <w:pStyle w:val="whitespace-pre-wrap"/>
              <w:rPr>
                <w:sz w:val="28"/>
                <w:szCs w:val="28"/>
              </w:rPr>
            </w:pPr>
            <w:r w:rsidRPr="00220216">
              <w:rPr>
                <w:sz w:val="28"/>
                <w:szCs w:val="28"/>
              </w:rPr>
              <w:t>314</w:t>
            </w:r>
          </w:p>
        </w:tc>
        <w:tc>
          <w:tcPr>
            <w:tcW w:w="3117" w:type="dxa"/>
            <w:gridSpan w:val="2"/>
          </w:tcPr>
          <w:p w14:paraId="1A1BEF25" w14:textId="77777777" w:rsidR="00220216" w:rsidRPr="007A071F" w:rsidRDefault="00220216" w:rsidP="00A73533">
            <w:pPr>
              <w:pStyle w:val="whitespace-pre-wrap"/>
              <w:rPr>
                <w:sz w:val="28"/>
                <w:szCs w:val="28"/>
              </w:rPr>
            </w:pPr>
            <w:r w:rsidRPr="00220216">
              <w:rPr>
                <w:sz w:val="28"/>
                <w:szCs w:val="28"/>
              </w:rPr>
              <w:t>1170</w:t>
            </w:r>
          </w:p>
        </w:tc>
      </w:tr>
    </w:tbl>
    <w:p w14:paraId="73798EFF" w14:textId="23AA3814" w:rsidR="001035D3" w:rsidRPr="007A071F" w:rsidRDefault="001035D3" w:rsidP="00220216">
      <w:pPr>
        <w:pStyle w:val="whitespace-pre-wrap"/>
        <w:rPr>
          <w:sz w:val="28"/>
          <w:szCs w:val="28"/>
        </w:rPr>
      </w:pPr>
    </w:p>
    <w:sectPr w:rsidR="001035D3" w:rsidRPr="007A0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09"/>
    <w:rsid w:val="001035D3"/>
    <w:rsid w:val="00190B28"/>
    <w:rsid w:val="00220216"/>
    <w:rsid w:val="00395076"/>
    <w:rsid w:val="006A38A6"/>
    <w:rsid w:val="007A071F"/>
    <w:rsid w:val="00931409"/>
    <w:rsid w:val="009A2478"/>
    <w:rsid w:val="00AA426C"/>
    <w:rsid w:val="00AC4B7D"/>
    <w:rsid w:val="00B402F9"/>
    <w:rsid w:val="00ED61EB"/>
    <w:rsid w:val="00EE46BC"/>
    <w:rsid w:val="00F5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B4455"/>
  <w15:chartTrackingRefBased/>
  <w15:docId w15:val="{A0770188-6D30-D64E-BFC5-1144A2D6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8A6"/>
    <w:pPr>
      <w:spacing w:after="120"/>
    </w:pPr>
    <w:rPr>
      <w:rFonts w:ascii="Times New Roman" w:hAnsi="Times New Roman"/>
    </w:rPr>
  </w:style>
  <w:style w:type="paragraph" w:styleId="Heading1">
    <w:name w:val="heading 1"/>
    <w:basedOn w:val="Normal"/>
    <w:next w:val="Normal"/>
    <w:link w:val="Heading1Char"/>
    <w:uiPriority w:val="9"/>
    <w:qFormat/>
    <w:rsid w:val="00931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4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4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140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14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14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140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140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409"/>
    <w:rPr>
      <w:rFonts w:eastAsiaTheme="majorEastAsia" w:cstheme="majorBidi"/>
      <w:color w:val="272727" w:themeColor="text1" w:themeTint="D8"/>
    </w:rPr>
  </w:style>
  <w:style w:type="paragraph" w:styleId="Title">
    <w:name w:val="Title"/>
    <w:basedOn w:val="Normal"/>
    <w:next w:val="Normal"/>
    <w:link w:val="TitleChar"/>
    <w:uiPriority w:val="10"/>
    <w:qFormat/>
    <w:rsid w:val="009314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40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4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1409"/>
    <w:rPr>
      <w:rFonts w:ascii="Times New Roman" w:hAnsi="Times New Roman"/>
      <w:i/>
      <w:iCs/>
      <w:color w:val="404040" w:themeColor="text1" w:themeTint="BF"/>
    </w:rPr>
  </w:style>
  <w:style w:type="paragraph" w:styleId="ListParagraph">
    <w:name w:val="List Paragraph"/>
    <w:basedOn w:val="Normal"/>
    <w:uiPriority w:val="34"/>
    <w:qFormat/>
    <w:rsid w:val="00931409"/>
    <w:pPr>
      <w:ind w:left="720"/>
      <w:contextualSpacing/>
    </w:pPr>
  </w:style>
  <w:style w:type="character" w:styleId="IntenseEmphasis">
    <w:name w:val="Intense Emphasis"/>
    <w:basedOn w:val="DefaultParagraphFont"/>
    <w:uiPriority w:val="21"/>
    <w:qFormat/>
    <w:rsid w:val="00931409"/>
    <w:rPr>
      <w:i/>
      <w:iCs/>
      <w:color w:val="0F4761" w:themeColor="accent1" w:themeShade="BF"/>
    </w:rPr>
  </w:style>
  <w:style w:type="paragraph" w:styleId="IntenseQuote">
    <w:name w:val="Intense Quote"/>
    <w:basedOn w:val="Normal"/>
    <w:next w:val="Normal"/>
    <w:link w:val="IntenseQuoteChar"/>
    <w:uiPriority w:val="30"/>
    <w:qFormat/>
    <w:rsid w:val="00931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409"/>
    <w:rPr>
      <w:rFonts w:ascii="Times New Roman" w:hAnsi="Times New Roman"/>
      <w:i/>
      <w:iCs/>
      <w:color w:val="0F4761" w:themeColor="accent1" w:themeShade="BF"/>
    </w:rPr>
  </w:style>
  <w:style w:type="character" w:styleId="IntenseReference">
    <w:name w:val="Intense Reference"/>
    <w:basedOn w:val="DefaultParagraphFont"/>
    <w:uiPriority w:val="32"/>
    <w:qFormat/>
    <w:rsid w:val="00931409"/>
    <w:rPr>
      <w:b/>
      <w:bCs/>
      <w:smallCaps/>
      <w:color w:val="0F4761" w:themeColor="accent1" w:themeShade="BF"/>
      <w:spacing w:val="5"/>
    </w:rPr>
  </w:style>
  <w:style w:type="paragraph" w:customStyle="1" w:styleId="whitespace-pre-wrap">
    <w:name w:val="whitespace-pre-wrap"/>
    <w:basedOn w:val="Normal"/>
    <w:rsid w:val="007A071F"/>
    <w:pPr>
      <w:spacing w:before="100" w:beforeAutospacing="1" w:after="100" w:afterAutospacing="1"/>
    </w:pPr>
    <w:rPr>
      <w:rFonts w:eastAsia="Times New Roman" w:cs="Times New Roman"/>
      <w:kern w:val="0"/>
      <w14:ligatures w14:val="none"/>
    </w:rPr>
  </w:style>
  <w:style w:type="table" w:styleId="TableGrid">
    <w:name w:val="Table Grid"/>
    <w:basedOn w:val="TableNormal"/>
    <w:uiPriority w:val="39"/>
    <w:rsid w:val="00220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172428">
      <w:bodyDiv w:val="1"/>
      <w:marLeft w:val="0"/>
      <w:marRight w:val="0"/>
      <w:marTop w:val="0"/>
      <w:marBottom w:val="0"/>
      <w:divBdr>
        <w:top w:val="none" w:sz="0" w:space="0" w:color="auto"/>
        <w:left w:val="none" w:sz="0" w:space="0" w:color="auto"/>
        <w:bottom w:val="none" w:sz="0" w:space="0" w:color="auto"/>
        <w:right w:val="none" w:sz="0" w:space="0" w:color="auto"/>
      </w:divBdr>
    </w:div>
    <w:div w:id="1024943065">
      <w:bodyDiv w:val="1"/>
      <w:marLeft w:val="0"/>
      <w:marRight w:val="0"/>
      <w:marTop w:val="0"/>
      <w:marBottom w:val="0"/>
      <w:divBdr>
        <w:top w:val="none" w:sz="0" w:space="0" w:color="auto"/>
        <w:left w:val="none" w:sz="0" w:space="0" w:color="auto"/>
        <w:bottom w:val="none" w:sz="0" w:space="0" w:color="auto"/>
        <w:right w:val="none" w:sz="0" w:space="0" w:color="auto"/>
      </w:divBdr>
    </w:div>
    <w:div w:id="19539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Rittenburg</dc:creator>
  <cp:keywords/>
  <dc:description/>
  <cp:lastModifiedBy>Angel Rittenburg</cp:lastModifiedBy>
  <cp:revision>1</cp:revision>
  <cp:lastPrinted>2025-01-23T22:46:00Z</cp:lastPrinted>
  <dcterms:created xsi:type="dcterms:W3CDTF">2025-01-23T21:35:00Z</dcterms:created>
  <dcterms:modified xsi:type="dcterms:W3CDTF">2025-01-24T08:11:00Z</dcterms:modified>
</cp:coreProperties>
</file>