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1760 Bush Street — Evidence Timeline Entry</w:t>
      </w:r>
    </w:p>
    <w:p>
      <w:pPr>
        <w:spacing w:after="300"/>
      </w:pPr>
      <w:r>
        <w:rPr>
          <w:i/>
          <w:iCs/>
          <w:color w:val="555555"/>
          <w:sz w:val="20"/>
          <w:szCs w:val="20"/>
        </w:rPr>
        <w:t xml:space="preserve">Prepared for Angel Rittenburg</w:t>
      </w:r>
    </w:p>
    <w:p>
      <w:pPr>
        <w:pStyle w:val="Heading2"/>
        <w:spacing w:after="150" w:before="300"/>
      </w:pPr>
      <w:r>
        <w:t xml:space="preserve">Entry Summary</w:t>
      </w:r>
    </w:p>
    <w:p>
      <w:pPr>
        <w:spacing w:after="100"/>
      </w:pPr>
      <w:r>
        <w:rPr>
          <w:b/>
          <w:bCs/>
        </w:rPr>
        <w:t xml:space="preserve">Date of document: </w:t>
      </w:r>
      <w:r>
        <w:t xml:space="preserve">May 13, 2026</w:t>
      </w:r>
    </w:p>
    <w:p>
      <w:pPr>
        <w:spacing w:after="100"/>
      </w:pPr>
      <w:r>
        <w:rPr>
          <w:b/>
          <w:bCs/>
        </w:rPr>
        <w:t xml:space="preserve">Source: </w:t>
      </w:r>
      <w:r>
        <w:t xml:space="preserve">PDF titled "05142026_MMgoodbye.pdf" — a "Farewell Newsletter" authored and distributed by Margaret M. McNulty (then TA President, now President of Resident Council Advisors / RCA)</w:t>
      </w:r>
    </w:p>
    <w:p>
      <w:pPr>
        <w:spacing w:after="100"/>
      </w:pPr>
      <w:r>
        <w:rPr>
          <w:b/>
          <w:bCs/>
        </w:rPr>
        <w:t xml:space="preserve">Distribution: </w:t>
      </w:r>
      <w:r>
        <w:t xml:space="preserve">Tenant-wide, in three parallel-language versions within the same document: English, Mandarin Chinese, and Russian — indicating deliberate wide, building-wide circulation rather than a private communication</w:t>
      </w:r>
    </w:p>
    <w:p>
      <w:pPr>
        <w:spacing w:after="100"/>
      </w:pPr>
      <w:r>
        <w:rPr>
          <w:b/>
          <w:bCs/>
        </w:rPr>
        <w:t xml:space="preserve">Named subject: </w:t>
      </w:r>
      <w:r>
        <w:t xml:space="preserve">Scott "Angel" Rittenburg, identified by full name and unit number (#412)</w:t>
      </w:r>
    </w:p>
    <w:p>
      <w:pPr>
        <w:spacing w:after="100"/>
      </w:pPr>
      <w:r>
        <w:rPr>
          <w:b/>
          <w:bCs/>
        </w:rPr>
        <w:t xml:space="preserve">Attorney consultation: </w:t>
      </w:r>
      <w:r>
        <w:t xml:space="preserve">Reviewed by counsel (May 2026). Counsel's assessment: the letter is problematic ("not a good letter for her to have written") but, based on the case's prior history, unlikely to move a judge to act on its own. Recommended strategy: monitor and document, and revisit if McNulty escalates further rather than pursue action on this document alone.</w:t>
      </w:r>
    </w:p>
    <w:p>
      <w:pPr>
        <w:spacing w:after="100"/>
      </w:pPr>
      <w:r>
        <w:rPr>
          <w:b/>
          <w:bCs/>
        </w:rPr>
        <w:t xml:space="preserve">Status: </w:t>
      </w:r>
      <w:r>
        <w:t xml:space="preserve">Logged as evidence; no action taken per counsel's watch-and-wait recommendation as of this entry</w:t>
      </w:r>
    </w:p>
    <w:p>
      <w:pPr>
        <w:pStyle w:val="Heading2"/>
        <w:spacing w:after="150" w:before="300"/>
      </w:pPr>
      <w:r>
        <w:t xml:space="preserve">Full Text (English portion, as written — errors in original preserved)</w:t>
      </w:r>
    </w:p>
    <w:p>
      <w:pPr>
        <w:pBdr>
          <w:left w:val="single" w:color="999999" w:sz="12" w:space="8"/>
        </w:pBdr>
        <w:spacing w:after="120"/>
        <w:ind w:left="360"/>
      </w:pPr>
      <w:r>
        <w:rPr>
          <w:i/>
          <w:iCs/>
        </w:rPr>
        <w:t xml:space="preserve">"My dear tenants, as of today May 13, 2026, this is my FAREWELL NEWSLETTER. I've always written to you in open transparency and thought you'd want to know, I am being forced out by the actions of Scott "Angel" Rittenburg and nothing else. His constant targeted harassment left me no choice but to go if I want to live in peace."</w:t>
      </w:r>
    </w:p>
    <w:p>
      <w:pPr>
        <w:pBdr>
          <w:left w:val="single" w:color="999999" w:sz="12" w:space="8"/>
        </w:pBdr>
        <w:spacing w:after="120"/>
        <w:ind w:left="360"/>
      </w:pPr>
      <w:r>
        <w:rPr>
          <w:i/>
          <w:iCs/>
        </w:rPr>
        <w:t xml:space="preserve">"THE TA BOARD OF OFFICERS: As of my writing, the V.P. John Jolly is also resigning. You are left with some of the finest Officers I've ever had the pleasure of serving with Kezia Martinis (#409), Kalif Bess (#510), and SuShon Bradley (#708). They will be serving until the new elections and I recommend all of them for your future leadership."</w:t>
      </w:r>
    </w:p>
    <w:p>
      <w:pPr>
        <w:pBdr>
          <w:left w:val="single" w:color="999999" w:sz="12" w:space="8"/>
        </w:pBdr>
        <w:spacing w:after="120"/>
        <w:ind w:left="360"/>
      </w:pPr>
      <w:r>
        <w:rPr>
          <w:i/>
          <w:iCs/>
        </w:rPr>
        <w:t xml:space="preserve">"What I can't do is endorse Mr. Rittenburg (#412) who has wanted my job for so long, he's pushed me out to get it. Sadly, he is motivated by ill-gotten deeds. Anyone who thinks it's okay to do the things he KEEPS DOING against someone not out to hurt him. All I can do is advise you not to put your trust in him. Do not reward his behavior by voting for him. He's black-hearted. You'll never know transparency if he leads you."</w:t>
      </w:r>
    </w:p>
    <w:p>
      <w:pPr>
        <w:pBdr>
          <w:left w:val="single" w:color="999999" w:sz="12" w:space="8"/>
        </w:pBdr>
        <w:spacing w:after="120"/>
        <w:ind w:left="360"/>
      </w:pPr>
      <w:r>
        <w:rPr>
          <w:i/>
          <w:iCs/>
        </w:rPr>
        <w:t xml:space="preserve">"BANKING: I've advised you and the Board all along that the e.i.n. number needed to do business as a non-profit was in my name, therefore the account is closed. I will transfer the remaining balance to the new regime, but they must get their own number. I am available to advise on this matter and any other at 415-678-7898 going forward."</w:t>
      </w:r>
    </w:p>
    <w:p>
      <w:pPr>
        <w:pBdr>
          <w:left w:val="single" w:color="999999" w:sz="12" w:space="8"/>
        </w:pBdr>
        <w:spacing w:after="120"/>
        <w:ind w:left="360"/>
      </w:pPr>
      <w:r>
        <w:rPr>
          <w:i/>
          <w:iCs/>
        </w:rPr>
        <w:t xml:space="preserve">"My team and I will be available to serve you as members of RCA (Resident Council Advisors). I will continue to be a voice of tenants always, so feel free to call me or my team at the above number or email me @ residentcounciladvisors@gmail.com. If I can help you, I will."</w:t>
      </w:r>
    </w:p>
    <w:p>
      <w:pPr>
        <w:pBdr>
          <w:left w:val="single" w:color="999999" w:sz="12" w:space="8"/>
        </w:pBdr>
        <w:spacing w:after="120"/>
        <w:ind w:left="360"/>
      </w:pPr>
      <w:r>
        <w:rPr>
          <w:i/>
          <w:iCs/>
        </w:rPr>
        <w:t xml:space="preserve">"VENDING: Sadly, the company MeFit, did not pay us since July of 2024. They stated that they weren't doing enough business and they had to pull the machines. You can thank whoever kept filling it with fake coins for the loss."</w:t>
      </w:r>
    </w:p>
    <w:p>
      <w:pPr>
        <w:pBdr>
          <w:left w:val="single" w:color="999999" w:sz="12" w:space="8"/>
        </w:pBdr>
        <w:spacing w:after="120"/>
        <w:ind w:left="360"/>
      </w:pPr>
      <w:r>
        <w:rPr>
          <w:i/>
          <w:iCs/>
        </w:rPr>
        <w:t xml:space="preserve">"MY FAREWELL: I leave you so completely grateful for who you've helped me become. I will miss you all. I leave you in Love and Gratitude, Margaret M. McNulty your exPresident and current President of RCA, God BLESS YOU ALL!"</w:t>
      </w:r>
    </w:p>
    <w:p>
      <w:pPr>
        <w:pStyle w:val="Heading2"/>
        <w:spacing w:after="150" w:before="300"/>
      </w:pPr>
      <w:r>
        <w:t xml:space="preserve">Line-by-Line Fact vs. Opinion Breakdown</w:t>
      </w:r>
    </w:p>
    <w:p>
      <w:pPr>
        <w:spacing w:after="160"/>
      </w:pPr>
      <w:r>
        <w:rPr>
          <w:i/>
          <w:iCs/>
          <w:sz w:val="20"/>
          <w:szCs w:val="20"/>
        </w:rPr>
        <w:t xml:space="preserve">The breakdown below isolates the statements directed at Rittenburg by name and classifies each as a factual assertion (a checkable claim capable of being proven true or false) versus opinion/rhetoric (a value judgment or characterization courts generally treat as non-actionable). This is analysis of the document's language only — it is not a legal conclusion about defamation, and it is not a substitute for counsel's judgment on this matter.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1900"/>
        <w:gridCol w:w="1080"/>
      </w:tblGrid>
      <w:tr>
        <w:trPr>
          <w:tblHeader/>
        </w:trPr>
        <w:tc>
          <w:tcPr>
            <w:tcW w:type="dxa" w:w="2600"/>
            <w:shd w:fill="1F2937" w:val="clear"/>
            <w:tcMar>
              <w:top w:type="dxa" w:w="100"/>
              <w:left w:type="dxa" w:w="120"/>
              <w:bottom w:type="dxa" w:w="100"/>
              <w:right w:type="dxa" w:w="120"/>
            </w:tcMar>
          </w:tcPr>
          <w:p>
            <w:r>
              <w:rPr>
                <w:b/>
                <w:bCs/>
                <w:i w:val="false"/>
                <w:iCs w:val="false"/>
                <w:color w:val="FFFFFF"/>
                <w:sz w:val="20"/>
                <w:szCs w:val="20"/>
              </w:rPr>
              <w:t xml:space="preserve">Statement (as written)</w:t>
            </w:r>
          </w:p>
        </w:tc>
        <w:tc>
          <w:tcPr>
            <w:tcW w:type="dxa" w:w="4300"/>
            <w:shd w:fill="1F2937" w:val="clear"/>
            <w:tcMar>
              <w:top w:type="dxa" w:w="100"/>
              <w:left w:type="dxa" w:w="120"/>
              <w:bottom w:type="dxa" w:w="100"/>
              <w:right w:type="dxa" w:w="120"/>
            </w:tcMar>
          </w:tcPr>
          <w:p>
            <w:r>
              <w:rPr>
                <w:b/>
                <w:bCs/>
                <w:i w:val="false"/>
                <w:iCs w:val="false"/>
                <w:color w:val="FFFFFF"/>
                <w:sz w:val="20"/>
                <w:szCs w:val="20"/>
              </w:rPr>
              <w:t xml:space="preserve">Assessment</w:t>
            </w:r>
          </w:p>
        </w:tc>
        <w:tc>
          <w:tcPr>
            <w:tcW w:type="dxa" w:w="1900"/>
            <w:shd w:fill="1F2937" w:val="clear"/>
            <w:tcMar>
              <w:top w:type="dxa" w:w="100"/>
              <w:left w:type="dxa" w:w="120"/>
              <w:bottom w:type="dxa" w:w="100"/>
              <w:right w:type="dxa" w:w="120"/>
            </w:tcMar>
          </w:tcPr>
          <w:p>
            <w:r>
              <w:rPr>
                <w:b/>
                <w:bCs/>
                <w:i w:val="false"/>
                <w:iCs w:val="false"/>
                <w:color w:val="FFFFFF"/>
                <w:sz w:val="20"/>
                <w:szCs w:val="20"/>
              </w:rPr>
              <w:t xml:space="preserve">Classification</w:t>
            </w:r>
          </w:p>
        </w:tc>
        <w:tc>
          <w:tcPr>
            <w:tcW w:type="dxa" w:w="1080"/>
            <w:shd w:fill="1F2937" w:val="clear"/>
            <w:tcMar>
              <w:top w:type="dxa" w:w="100"/>
              <w:left w:type="dxa" w:w="120"/>
              <w:bottom w:type="dxa" w:w="100"/>
              <w:right w:type="dxa" w:w="120"/>
            </w:tcMar>
          </w:tcPr>
          <w:p>
            <w:r>
              <w:rPr>
                <w:b/>
                <w:bCs/>
                <w:i w:val="false"/>
                <w:iCs w:val="false"/>
                <w:color w:val="FFFFFF"/>
                <w:sz w:val="20"/>
                <w:szCs w:val="20"/>
              </w:rPr>
              <w:t xml:space="preserve">Weight</w:t>
            </w:r>
          </w:p>
        </w:tc>
      </w:tr>
      <w:tr>
        <w:tc>
          <w:tcPr>
            <w:tcW w:type="dxa" w:w="2600"/>
            <w:tcMar>
              <w:top w:type="dxa" w:w="100"/>
              <w:left w:type="dxa" w:w="120"/>
              <w:bottom w:type="dxa" w:w="100"/>
              <w:right w:type="dxa" w:w="120"/>
            </w:tcMar>
          </w:tcPr>
          <w:p>
            <w:r>
              <w:rPr>
                <w:b w:val="false"/>
                <w:bCs w:val="false"/>
                <w:i/>
                <w:iCs/>
                <w:sz w:val="19"/>
                <w:szCs w:val="19"/>
              </w:rPr>
              <w:t xml:space="preserve">"I am being forced out by the actions of Scott 'Angel' Rittenburg and nothing else."</w:t>
            </w:r>
          </w:p>
        </w:tc>
        <w:tc>
          <w:tcPr>
            <w:tcW w:type="dxa" w:w="4300"/>
            <w:tcMar>
              <w:top w:type="dxa" w:w="100"/>
              <w:left w:type="dxa" w:w="120"/>
              <w:bottom w:type="dxa" w:w="100"/>
              <w:right w:type="dxa" w:w="120"/>
            </w:tcMar>
          </w:tcPr>
          <w:p>
            <w:r>
              <w:rPr>
                <w:b w:val="false"/>
                <w:bCs w:val="false"/>
                <w:i w:val="false"/>
                <w:iCs w:val="false"/>
                <w:sz w:val="19"/>
                <w:szCs w:val="19"/>
              </w:rPr>
              <w:t xml:space="preserve">Asserts, as fact, that Rittenburg's conduct is the sole cause of her departure. A specific, checkable causal claim, not phrased as belief or opinion.</w:t>
            </w:r>
          </w:p>
        </w:tc>
        <w:tc>
          <w:tcPr>
            <w:tcW w:type="dxa" w:w="1900"/>
            <w:tcMar>
              <w:top w:type="dxa" w:w="100"/>
              <w:left w:type="dxa" w:w="120"/>
              <w:bottom w:type="dxa" w:w="100"/>
              <w:right w:type="dxa" w:w="120"/>
            </w:tcMar>
          </w:tcPr>
          <w:p>
            <w:r>
              <w:rPr>
                <w:b w:val="false"/>
                <w:bCs w:val="false"/>
                <w:i w:val="false"/>
                <w:iCs w:val="false"/>
                <w:sz w:val="19"/>
                <w:szCs w:val="19"/>
              </w:rPr>
              <w:t xml:space="preserve">Factual assertion</w:t>
            </w:r>
          </w:p>
        </w:tc>
        <w:tc>
          <w:tcPr>
            <w:tcW w:type="dxa" w:w="1080"/>
            <w:tcMar>
              <w:top w:type="dxa" w:w="100"/>
              <w:left w:type="dxa" w:w="120"/>
              <w:bottom w:type="dxa" w:w="100"/>
              <w:right w:type="dxa" w:w="120"/>
            </w:tcMar>
          </w:tcPr>
          <w:p>
            <w:r>
              <w:rPr>
                <w:b w:val="false"/>
                <w:bCs w:val="false"/>
                <w:i w:val="false"/>
                <w:iCs w:val="false"/>
                <w:sz w:val="19"/>
                <w:szCs w:val="19"/>
              </w:rPr>
              <w:t xml:space="preserve">High</w:t>
            </w:r>
          </w:p>
        </w:tc>
      </w:tr>
      <w:tr>
        <w:tc>
          <w:tcPr>
            <w:tcW w:type="dxa" w:w="2600"/>
            <w:tcMar>
              <w:top w:type="dxa" w:w="100"/>
              <w:left w:type="dxa" w:w="120"/>
              <w:bottom w:type="dxa" w:w="100"/>
              <w:right w:type="dxa" w:w="120"/>
            </w:tcMar>
          </w:tcPr>
          <w:p>
            <w:r>
              <w:rPr>
                <w:b w:val="false"/>
                <w:bCs w:val="false"/>
                <w:i/>
                <w:iCs/>
                <w:sz w:val="19"/>
                <w:szCs w:val="19"/>
              </w:rPr>
              <w:t xml:space="preserve">"His constant targeted harassment left me no choice but to go if I want to live in peace."</w:t>
            </w:r>
          </w:p>
        </w:tc>
        <w:tc>
          <w:tcPr>
            <w:tcW w:type="dxa" w:w="4300"/>
            <w:tcMar>
              <w:top w:type="dxa" w:w="100"/>
              <w:left w:type="dxa" w:w="120"/>
              <w:bottom w:type="dxa" w:w="100"/>
              <w:right w:type="dxa" w:w="120"/>
            </w:tcMar>
          </w:tcPr>
          <w:p>
            <w:r>
              <w:rPr>
                <w:b w:val="false"/>
                <w:bCs w:val="false"/>
                <w:i w:val="false"/>
                <w:iCs w:val="false"/>
                <w:sz w:val="19"/>
                <w:szCs w:val="19"/>
              </w:rPr>
              <w:t xml:space="preserve">Accuses Rittenburg by name of a specific, ongoing course of conduct ("targeted harassment"). This is the most legally significant line in the letter — it's a factual charge of wrongdoing, not a value judgment.</w:t>
            </w:r>
          </w:p>
        </w:tc>
        <w:tc>
          <w:tcPr>
            <w:tcW w:type="dxa" w:w="1900"/>
            <w:tcMar>
              <w:top w:type="dxa" w:w="100"/>
              <w:left w:type="dxa" w:w="120"/>
              <w:bottom w:type="dxa" w:w="100"/>
              <w:right w:type="dxa" w:w="120"/>
            </w:tcMar>
          </w:tcPr>
          <w:p>
            <w:r>
              <w:rPr>
                <w:b w:val="false"/>
                <w:bCs w:val="false"/>
                <w:i w:val="false"/>
                <w:iCs w:val="false"/>
                <w:sz w:val="19"/>
                <w:szCs w:val="19"/>
              </w:rPr>
              <w:t xml:space="preserve">Factual assertion</w:t>
            </w:r>
          </w:p>
        </w:tc>
        <w:tc>
          <w:tcPr>
            <w:tcW w:type="dxa" w:w="1080"/>
            <w:tcMar>
              <w:top w:type="dxa" w:w="100"/>
              <w:left w:type="dxa" w:w="120"/>
              <w:bottom w:type="dxa" w:w="100"/>
              <w:right w:type="dxa" w:w="120"/>
            </w:tcMar>
          </w:tcPr>
          <w:p>
            <w:r>
              <w:rPr>
                <w:b w:val="false"/>
                <w:bCs w:val="false"/>
                <w:i w:val="false"/>
                <w:iCs w:val="false"/>
                <w:sz w:val="19"/>
                <w:szCs w:val="19"/>
              </w:rPr>
              <w:t xml:space="preserve">High</w:t>
            </w:r>
          </w:p>
        </w:tc>
      </w:tr>
      <w:tr>
        <w:tc>
          <w:tcPr>
            <w:tcW w:type="dxa" w:w="2600"/>
            <w:tcMar>
              <w:top w:type="dxa" w:w="100"/>
              <w:left w:type="dxa" w:w="120"/>
              <w:bottom w:type="dxa" w:w="100"/>
              <w:right w:type="dxa" w:w="120"/>
            </w:tcMar>
          </w:tcPr>
          <w:p>
            <w:r>
              <w:rPr>
                <w:b w:val="false"/>
                <w:bCs w:val="false"/>
                <w:i/>
                <w:iCs/>
                <w:sz w:val="19"/>
                <w:szCs w:val="19"/>
              </w:rPr>
              <w:t xml:space="preserve">"What I can't do is endorse Mr. Rittenburg (#412) who has wanted my job for so long, he's pushed me out to get it."</w:t>
            </w:r>
          </w:p>
        </w:tc>
        <w:tc>
          <w:tcPr>
            <w:tcW w:type="dxa" w:w="4300"/>
            <w:tcMar>
              <w:top w:type="dxa" w:w="100"/>
              <w:left w:type="dxa" w:w="120"/>
              <w:bottom w:type="dxa" w:w="100"/>
              <w:right w:type="dxa" w:w="120"/>
            </w:tcMar>
          </w:tcPr>
          <w:p>
            <w:r>
              <w:rPr>
                <w:b w:val="false"/>
                <w:bCs w:val="false"/>
                <w:i w:val="false"/>
                <w:iCs w:val="false"/>
                <w:sz w:val="19"/>
                <w:szCs w:val="19"/>
              </w:rPr>
              <w:t xml:space="preserve">Asserts a specific motive and a specific act (pushing her out to obtain her position). Presented as known fact, not speculation.</w:t>
            </w:r>
          </w:p>
        </w:tc>
        <w:tc>
          <w:tcPr>
            <w:tcW w:type="dxa" w:w="1900"/>
            <w:tcMar>
              <w:top w:type="dxa" w:w="100"/>
              <w:left w:type="dxa" w:w="120"/>
              <w:bottom w:type="dxa" w:w="100"/>
              <w:right w:type="dxa" w:w="120"/>
            </w:tcMar>
          </w:tcPr>
          <w:p>
            <w:r>
              <w:rPr>
                <w:b w:val="false"/>
                <w:bCs w:val="false"/>
                <w:i w:val="false"/>
                <w:iCs w:val="false"/>
                <w:sz w:val="19"/>
                <w:szCs w:val="19"/>
              </w:rPr>
              <w:t xml:space="preserve">Factual assertion</w:t>
            </w:r>
          </w:p>
        </w:tc>
        <w:tc>
          <w:tcPr>
            <w:tcW w:type="dxa" w:w="1080"/>
            <w:tcMar>
              <w:top w:type="dxa" w:w="100"/>
              <w:left w:type="dxa" w:w="120"/>
              <w:bottom w:type="dxa" w:w="100"/>
              <w:right w:type="dxa" w:w="120"/>
            </w:tcMar>
          </w:tcPr>
          <w:p>
            <w:r>
              <w:rPr>
                <w:b w:val="false"/>
                <w:bCs w:val="false"/>
                <w:i w:val="false"/>
                <w:iCs w:val="false"/>
                <w:sz w:val="19"/>
                <w:szCs w:val="19"/>
              </w:rPr>
              <w:t xml:space="preserve">High</w:t>
            </w:r>
          </w:p>
        </w:tc>
      </w:tr>
      <w:tr>
        <w:tc>
          <w:tcPr>
            <w:tcW w:type="dxa" w:w="2600"/>
            <w:tcMar>
              <w:top w:type="dxa" w:w="100"/>
              <w:left w:type="dxa" w:w="120"/>
              <w:bottom w:type="dxa" w:w="100"/>
              <w:right w:type="dxa" w:w="120"/>
            </w:tcMar>
          </w:tcPr>
          <w:p>
            <w:r>
              <w:rPr>
                <w:b w:val="false"/>
                <w:bCs w:val="false"/>
                <w:i/>
                <w:iCs/>
                <w:sz w:val="19"/>
                <w:szCs w:val="19"/>
              </w:rPr>
              <w:t xml:space="preserve">"Sadly, he is motivated by ill-gotten deeds."</w:t>
            </w:r>
          </w:p>
        </w:tc>
        <w:tc>
          <w:tcPr>
            <w:tcW w:type="dxa" w:w="4300"/>
            <w:tcMar>
              <w:top w:type="dxa" w:w="100"/>
              <w:left w:type="dxa" w:w="120"/>
              <w:bottom w:type="dxa" w:w="100"/>
              <w:right w:type="dxa" w:w="120"/>
            </w:tcMar>
          </w:tcPr>
          <w:p>
            <w:r>
              <w:rPr>
                <w:b w:val="false"/>
                <w:bCs w:val="false"/>
                <w:i w:val="false"/>
                <w:iCs w:val="false"/>
                <w:sz w:val="19"/>
                <w:szCs w:val="19"/>
              </w:rPr>
              <w:t xml:space="preserve">Implies specific improper or unlawful conduct ("ill-gotten"), though the underlying "deeds" are never named. Vague enough that it blends assertion with insinuation.</w:t>
            </w:r>
          </w:p>
        </w:tc>
        <w:tc>
          <w:tcPr>
            <w:tcW w:type="dxa" w:w="1900"/>
            <w:tcMar>
              <w:top w:type="dxa" w:w="100"/>
              <w:left w:type="dxa" w:w="120"/>
              <w:bottom w:type="dxa" w:w="100"/>
              <w:right w:type="dxa" w:w="120"/>
            </w:tcMar>
          </w:tcPr>
          <w:p>
            <w:r>
              <w:rPr>
                <w:b w:val="false"/>
                <w:bCs w:val="false"/>
                <w:i w:val="false"/>
                <w:iCs w:val="false"/>
                <w:sz w:val="19"/>
                <w:szCs w:val="19"/>
              </w:rPr>
              <w:t xml:space="preserve">Mixed (fact-leaning insinuation)</w:t>
            </w:r>
          </w:p>
        </w:tc>
        <w:tc>
          <w:tcPr>
            <w:tcW w:type="dxa" w:w="1080"/>
            <w:tcMar>
              <w:top w:type="dxa" w:w="100"/>
              <w:left w:type="dxa" w:w="120"/>
              <w:bottom w:type="dxa" w:w="100"/>
              <w:right w:type="dxa" w:w="120"/>
            </w:tcMar>
          </w:tcPr>
          <w:p>
            <w:r>
              <w:rPr>
                <w:b w:val="false"/>
                <w:bCs w:val="false"/>
                <w:i w:val="false"/>
                <w:iCs w:val="false"/>
                <w:sz w:val="19"/>
                <w:szCs w:val="19"/>
              </w:rPr>
              <w:t xml:space="preserve">Medium</w:t>
            </w:r>
          </w:p>
        </w:tc>
      </w:tr>
      <w:tr>
        <w:tc>
          <w:tcPr>
            <w:tcW w:type="dxa" w:w="2600"/>
            <w:tcMar>
              <w:top w:type="dxa" w:w="100"/>
              <w:left w:type="dxa" w:w="120"/>
              <w:bottom w:type="dxa" w:w="100"/>
              <w:right w:type="dxa" w:w="120"/>
            </w:tcMar>
          </w:tcPr>
          <w:p>
            <w:r>
              <w:rPr>
                <w:b w:val="false"/>
                <w:bCs w:val="false"/>
                <w:i/>
                <w:iCs/>
                <w:sz w:val="19"/>
                <w:szCs w:val="19"/>
              </w:rPr>
              <w:t xml:space="preserve">"Anyone who thinks it's okay to do the things he KEEPS DOING against someone not out to hurt him."</w:t>
            </w:r>
          </w:p>
        </w:tc>
        <w:tc>
          <w:tcPr>
            <w:tcW w:type="dxa" w:w="4300"/>
            <w:tcMar>
              <w:top w:type="dxa" w:w="100"/>
              <w:left w:type="dxa" w:w="120"/>
              <w:bottom w:type="dxa" w:w="100"/>
              <w:right w:type="dxa" w:w="120"/>
            </w:tcMar>
          </w:tcPr>
          <w:p>
            <w:r>
              <w:rPr>
                <w:b w:val="false"/>
                <w:bCs w:val="false"/>
                <w:i w:val="false"/>
                <w:iCs w:val="false"/>
                <w:sz w:val="19"/>
                <w:szCs w:val="19"/>
              </w:rPr>
              <w:t xml:space="preserve">Implies an ongoing pattern of specific misconduct ("the things he KEEPS DOING") without ever stating what it is. The vagueness may cut against actionability, but the emphasis (all-caps) signals it's meant to be read as established fact.</w:t>
            </w:r>
          </w:p>
        </w:tc>
        <w:tc>
          <w:tcPr>
            <w:tcW w:type="dxa" w:w="1900"/>
            <w:tcMar>
              <w:top w:type="dxa" w:w="100"/>
              <w:left w:type="dxa" w:w="120"/>
              <w:bottom w:type="dxa" w:w="100"/>
              <w:right w:type="dxa" w:w="120"/>
            </w:tcMar>
          </w:tcPr>
          <w:p>
            <w:r>
              <w:rPr>
                <w:b w:val="false"/>
                <w:bCs w:val="false"/>
                <w:i w:val="false"/>
                <w:iCs w:val="false"/>
                <w:sz w:val="19"/>
                <w:szCs w:val="19"/>
              </w:rPr>
              <w:t xml:space="preserve">Mixed (fact-leaning insinuation)</w:t>
            </w:r>
          </w:p>
        </w:tc>
        <w:tc>
          <w:tcPr>
            <w:tcW w:type="dxa" w:w="1080"/>
            <w:tcMar>
              <w:top w:type="dxa" w:w="100"/>
              <w:left w:type="dxa" w:w="120"/>
              <w:bottom w:type="dxa" w:w="100"/>
              <w:right w:type="dxa" w:w="120"/>
            </w:tcMar>
          </w:tcPr>
          <w:p>
            <w:r>
              <w:rPr>
                <w:b w:val="false"/>
                <w:bCs w:val="false"/>
                <w:i w:val="false"/>
                <w:iCs w:val="false"/>
                <w:sz w:val="19"/>
                <w:szCs w:val="19"/>
              </w:rPr>
              <w:t xml:space="preserve">Medium</w:t>
            </w:r>
          </w:p>
        </w:tc>
      </w:tr>
      <w:tr>
        <w:tc>
          <w:tcPr>
            <w:tcW w:type="dxa" w:w="2600"/>
            <w:tcMar>
              <w:top w:type="dxa" w:w="100"/>
              <w:left w:type="dxa" w:w="120"/>
              <w:bottom w:type="dxa" w:w="100"/>
              <w:right w:type="dxa" w:w="120"/>
            </w:tcMar>
          </w:tcPr>
          <w:p>
            <w:r>
              <w:rPr>
                <w:b w:val="false"/>
                <w:bCs w:val="false"/>
                <w:i/>
                <w:iCs/>
                <w:sz w:val="19"/>
                <w:szCs w:val="19"/>
              </w:rPr>
              <w:t xml:space="preserve">"All I can do is advise you not to put your trust in him."</w:t>
            </w:r>
          </w:p>
        </w:tc>
        <w:tc>
          <w:tcPr>
            <w:tcW w:type="dxa" w:w="4300"/>
            <w:tcMar>
              <w:top w:type="dxa" w:w="100"/>
              <w:left w:type="dxa" w:w="120"/>
              <w:bottom w:type="dxa" w:w="100"/>
              <w:right w:type="dxa" w:w="120"/>
            </w:tcMar>
          </w:tcPr>
          <w:p>
            <w:r>
              <w:rPr>
                <w:b w:val="false"/>
                <w:bCs w:val="false"/>
                <w:i w:val="false"/>
                <w:iCs w:val="false"/>
                <w:sz w:val="19"/>
                <w:szCs w:val="19"/>
              </w:rPr>
              <w:t xml:space="preserve">A recommendation/opinion flowing from the (disputed) factual claims above, not an independent factual assertion.</w:t>
            </w:r>
          </w:p>
        </w:tc>
        <w:tc>
          <w:tcPr>
            <w:tcW w:type="dxa" w:w="1900"/>
            <w:tcMar>
              <w:top w:type="dxa" w:w="100"/>
              <w:left w:type="dxa" w:w="120"/>
              <w:bottom w:type="dxa" w:w="100"/>
              <w:right w:type="dxa" w:w="120"/>
            </w:tcMar>
          </w:tcPr>
          <w:p>
            <w:r>
              <w:rPr>
                <w:b w:val="false"/>
                <w:bCs w:val="false"/>
                <w:i w:val="false"/>
                <w:iCs w:val="false"/>
                <w:sz w:val="19"/>
                <w:szCs w:val="19"/>
              </w:rPr>
              <w:t xml:space="preserve">Opinion / rhetoric</w:t>
            </w:r>
          </w:p>
        </w:tc>
        <w:tc>
          <w:tcPr>
            <w:tcW w:type="dxa" w:w="1080"/>
            <w:tcMar>
              <w:top w:type="dxa" w:w="100"/>
              <w:left w:type="dxa" w:w="120"/>
              <w:bottom w:type="dxa" w:w="100"/>
              <w:right w:type="dxa" w:w="120"/>
            </w:tcMar>
          </w:tcPr>
          <w:p>
            <w:r>
              <w:rPr>
                <w:b w:val="false"/>
                <w:bCs w:val="false"/>
                <w:i w:val="false"/>
                <w:iCs w:val="false"/>
                <w:sz w:val="19"/>
                <w:szCs w:val="19"/>
              </w:rPr>
              <w:t xml:space="preserve">Low</w:t>
            </w:r>
          </w:p>
        </w:tc>
      </w:tr>
      <w:tr>
        <w:tc>
          <w:tcPr>
            <w:tcW w:type="dxa" w:w="2600"/>
            <w:tcMar>
              <w:top w:type="dxa" w:w="100"/>
              <w:left w:type="dxa" w:w="120"/>
              <w:bottom w:type="dxa" w:w="100"/>
              <w:right w:type="dxa" w:w="120"/>
            </w:tcMar>
          </w:tcPr>
          <w:p>
            <w:r>
              <w:rPr>
                <w:b w:val="false"/>
                <w:bCs w:val="false"/>
                <w:i/>
                <w:iCs/>
                <w:sz w:val="19"/>
                <w:szCs w:val="19"/>
              </w:rPr>
              <w:t xml:space="preserve">"Do not reward his behavior by voting for him."</w:t>
            </w:r>
          </w:p>
        </w:tc>
        <w:tc>
          <w:tcPr>
            <w:tcW w:type="dxa" w:w="4300"/>
            <w:tcMar>
              <w:top w:type="dxa" w:w="100"/>
              <w:left w:type="dxa" w:w="120"/>
              <w:bottom w:type="dxa" w:w="100"/>
              <w:right w:type="dxa" w:w="120"/>
            </w:tcMar>
          </w:tcPr>
          <w:p>
            <w:r>
              <w:rPr>
                <w:b w:val="false"/>
                <w:bCs w:val="false"/>
                <w:i w:val="false"/>
                <w:iCs w:val="false"/>
                <w:sz w:val="19"/>
                <w:szCs w:val="19"/>
              </w:rPr>
              <w:t xml:space="preserve">Explicit call to action tied to an upcoming TA election — relevant context (motive/timing) even though the sentence itself is opinion.</w:t>
            </w:r>
          </w:p>
        </w:tc>
        <w:tc>
          <w:tcPr>
            <w:tcW w:type="dxa" w:w="1900"/>
            <w:tcMar>
              <w:top w:type="dxa" w:w="100"/>
              <w:left w:type="dxa" w:w="120"/>
              <w:bottom w:type="dxa" w:w="100"/>
              <w:right w:type="dxa" w:w="120"/>
            </w:tcMar>
          </w:tcPr>
          <w:p>
            <w:r>
              <w:rPr>
                <w:b w:val="false"/>
                <w:bCs w:val="false"/>
                <w:i w:val="false"/>
                <w:iCs w:val="false"/>
                <w:sz w:val="19"/>
                <w:szCs w:val="19"/>
              </w:rPr>
              <w:t xml:space="preserve">Opinion / rhetoric (election context)</w:t>
            </w:r>
          </w:p>
        </w:tc>
        <w:tc>
          <w:tcPr>
            <w:tcW w:type="dxa" w:w="1080"/>
            <w:tcMar>
              <w:top w:type="dxa" w:w="100"/>
              <w:left w:type="dxa" w:w="120"/>
              <w:bottom w:type="dxa" w:w="100"/>
              <w:right w:type="dxa" w:w="120"/>
            </w:tcMar>
          </w:tcPr>
          <w:p>
            <w:r>
              <w:rPr>
                <w:b w:val="false"/>
                <w:bCs w:val="false"/>
                <w:i w:val="false"/>
                <w:iCs w:val="false"/>
                <w:sz w:val="19"/>
                <w:szCs w:val="19"/>
              </w:rPr>
              <w:t xml:space="preserve">Low (contextual)</w:t>
            </w:r>
          </w:p>
        </w:tc>
      </w:tr>
      <w:tr>
        <w:tc>
          <w:tcPr>
            <w:tcW w:type="dxa" w:w="2600"/>
            <w:tcMar>
              <w:top w:type="dxa" w:w="100"/>
              <w:left w:type="dxa" w:w="120"/>
              <w:bottom w:type="dxa" w:w="100"/>
              <w:right w:type="dxa" w:w="120"/>
            </w:tcMar>
          </w:tcPr>
          <w:p>
            <w:r>
              <w:rPr>
                <w:b w:val="false"/>
                <w:bCs w:val="false"/>
                <w:i/>
                <w:iCs/>
                <w:sz w:val="19"/>
                <w:szCs w:val="19"/>
              </w:rPr>
              <w:t xml:space="preserve">"He's black-hearted."</w:t>
            </w:r>
          </w:p>
        </w:tc>
        <w:tc>
          <w:tcPr>
            <w:tcW w:type="dxa" w:w="4300"/>
            <w:tcMar>
              <w:top w:type="dxa" w:w="100"/>
              <w:left w:type="dxa" w:w="120"/>
              <w:bottom w:type="dxa" w:w="100"/>
              <w:right w:type="dxa" w:w="120"/>
            </w:tcMar>
          </w:tcPr>
          <w:p>
            <w:r>
              <w:rPr>
                <w:b w:val="false"/>
                <w:bCs w:val="false"/>
                <w:i w:val="false"/>
                <w:iCs w:val="false"/>
                <w:sz w:val="19"/>
                <w:szCs w:val="19"/>
              </w:rPr>
              <w:t xml:space="preserve">Classic rhetorical hyperbole / name-calling. Courts routinely treat language like this as non-actionable opinion.</w:t>
            </w:r>
          </w:p>
        </w:tc>
        <w:tc>
          <w:tcPr>
            <w:tcW w:type="dxa" w:w="1900"/>
            <w:tcMar>
              <w:top w:type="dxa" w:w="100"/>
              <w:left w:type="dxa" w:w="120"/>
              <w:bottom w:type="dxa" w:w="100"/>
              <w:right w:type="dxa" w:w="120"/>
            </w:tcMar>
          </w:tcPr>
          <w:p>
            <w:r>
              <w:rPr>
                <w:b w:val="false"/>
                <w:bCs w:val="false"/>
                <w:i w:val="false"/>
                <w:iCs w:val="false"/>
                <w:sz w:val="19"/>
                <w:szCs w:val="19"/>
              </w:rPr>
              <w:t xml:space="preserve">Opinion / rhetoric</w:t>
            </w:r>
          </w:p>
        </w:tc>
        <w:tc>
          <w:tcPr>
            <w:tcW w:type="dxa" w:w="1080"/>
            <w:tcMar>
              <w:top w:type="dxa" w:w="100"/>
              <w:left w:type="dxa" w:w="120"/>
              <w:bottom w:type="dxa" w:w="100"/>
              <w:right w:type="dxa" w:w="120"/>
            </w:tcMar>
          </w:tcPr>
          <w:p>
            <w:r>
              <w:rPr>
                <w:b w:val="false"/>
                <w:bCs w:val="false"/>
                <w:i w:val="false"/>
                <w:iCs w:val="false"/>
                <w:sz w:val="19"/>
                <w:szCs w:val="19"/>
              </w:rPr>
              <w:t xml:space="preserve">Low</w:t>
            </w:r>
          </w:p>
        </w:tc>
      </w:tr>
      <w:tr>
        <w:tc>
          <w:tcPr>
            <w:tcW w:type="dxa" w:w="2600"/>
            <w:tcMar>
              <w:top w:type="dxa" w:w="100"/>
              <w:left w:type="dxa" w:w="120"/>
              <w:bottom w:type="dxa" w:w="100"/>
              <w:right w:type="dxa" w:w="120"/>
            </w:tcMar>
          </w:tcPr>
          <w:p>
            <w:r>
              <w:rPr>
                <w:b w:val="false"/>
                <w:bCs w:val="false"/>
                <w:i/>
                <w:iCs/>
                <w:sz w:val="19"/>
                <w:szCs w:val="19"/>
              </w:rPr>
              <w:t xml:space="preserve">"You'll never know transparency if he leads you."</w:t>
            </w:r>
          </w:p>
        </w:tc>
        <w:tc>
          <w:tcPr>
            <w:tcW w:type="dxa" w:w="4300"/>
            <w:tcMar>
              <w:top w:type="dxa" w:w="100"/>
              <w:left w:type="dxa" w:w="120"/>
              <w:bottom w:type="dxa" w:w="100"/>
              <w:right w:type="dxa" w:w="120"/>
            </w:tcMar>
          </w:tcPr>
          <w:p>
            <w:r>
              <w:rPr>
                <w:b w:val="false"/>
                <w:bCs w:val="false"/>
                <w:i w:val="false"/>
                <w:iCs w:val="false"/>
                <w:sz w:val="19"/>
                <w:szCs w:val="19"/>
              </w:rPr>
              <w:t xml:space="preserve">A prediction/opinion about future conduct, not a statement of past or present fact.</w:t>
            </w:r>
          </w:p>
        </w:tc>
        <w:tc>
          <w:tcPr>
            <w:tcW w:type="dxa" w:w="1900"/>
            <w:tcMar>
              <w:top w:type="dxa" w:w="100"/>
              <w:left w:type="dxa" w:w="120"/>
              <w:bottom w:type="dxa" w:w="100"/>
              <w:right w:type="dxa" w:w="120"/>
            </w:tcMar>
          </w:tcPr>
          <w:p>
            <w:r>
              <w:rPr>
                <w:b w:val="false"/>
                <w:bCs w:val="false"/>
                <w:i w:val="false"/>
                <w:iCs w:val="false"/>
                <w:sz w:val="19"/>
                <w:szCs w:val="19"/>
              </w:rPr>
              <w:t xml:space="preserve">Opinion / rhetoric</w:t>
            </w:r>
          </w:p>
        </w:tc>
        <w:tc>
          <w:tcPr>
            <w:tcW w:type="dxa" w:w="1080"/>
            <w:tcMar>
              <w:top w:type="dxa" w:w="100"/>
              <w:left w:type="dxa" w:w="120"/>
              <w:bottom w:type="dxa" w:w="100"/>
              <w:right w:type="dxa" w:w="120"/>
            </w:tcMar>
          </w:tcPr>
          <w:p>
            <w:r>
              <w:rPr>
                <w:b w:val="false"/>
                <w:bCs w:val="false"/>
                <w:i w:val="false"/>
                <w:iCs w:val="false"/>
                <w:sz w:val="19"/>
                <w:szCs w:val="19"/>
              </w:rPr>
              <w:t xml:space="preserve">Low</w:t>
            </w:r>
          </w:p>
        </w:tc>
      </w:tr>
    </w:tbl>
    <w:p>
      <w:pPr>
        <w:pStyle w:val="Heading2"/>
        <w:spacing w:after="150" w:before="300"/>
      </w:pPr>
      <w:r>
        <w:t xml:space="preserve">Notes for the Record</w:t>
      </w:r>
    </w:p>
    <w:p>
      <w:pPr>
        <w:spacing w:after="160"/>
      </w:pPr>
      <w:r>
        <w:t xml:space="preserve">• The three highest-weight statements (harassment, sole causation, and "pushed me out to get" the position) are the ones that, if shown to be false, most directly fit the elements of a defamation claim: a factual assertion, about Rittenburg by name, published to third parties (the full tenant body, in three languages), causing reputational harm.</w:t>
      </w:r>
    </w:p>
    <w:p>
      <w:pPr>
        <w:spacing w:after="160"/>
      </w:pPr>
      <w:r>
        <w:t xml:space="preserve">• The election-related language ("Do not reward his behavior by voting for him") is not itself a factual claim, but it supplies context on timing and motive if the pattern continues into the TA election cycle.</w:t>
      </w:r>
    </w:p>
    <w:p>
      <w:pPr>
        <w:spacing w:after="160"/>
      </w:pPr>
      <w:r>
        <w:t xml:space="preserve">• Per counsel's guidance, this entry is filed for the record under a monitor-and-document posture. No response or rebuttal has been sent as of this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2026-09-06T21:38:23.234Z</dcterms:created>
  <dcterms:modified xsi:type="dcterms:W3CDTF">2026-09-06T21:38:23.247Z</dcterms:modified>
</cp:coreProperties>
</file>

<file path=docProps/custom.xml><?xml version="1.0" encoding="utf-8"?>
<Properties xmlns="http://schemas.openxmlformats.org/officeDocument/2006/custom-properties" xmlns:vt="http://schemas.openxmlformats.org/officeDocument/2006/docPropsVTypes"/>
</file>