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EEEB3">
      <w:pPr>
        <w:pStyle w:val="2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建行版本</w:t>
      </w:r>
    </w:p>
    <w:p w14:paraId="0D1FF461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雄厚公司实力支持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077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1DEEE297">
            <w:pPr>
              <w:jc w:val="left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  <w:tr w14:paraId="6CDE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B36ED3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国泰海通资产管理</w:t>
            </w:r>
          </w:p>
        </w:tc>
        <w:tc>
          <w:tcPr>
            <w:tcW w:w="4261" w:type="dxa"/>
          </w:tcPr>
          <w:p w14:paraId="28AF6C65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股东国泰海通证券</w:t>
            </w:r>
          </w:p>
        </w:tc>
      </w:tr>
      <w:tr w14:paraId="741F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73BEDE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注册资本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</w:rPr>
              <w:t>20亿元</w:t>
            </w:r>
            <w:r>
              <w:rPr>
                <w:rFonts w:hint="eastAsia" w:ascii="微软雅黑" w:hAnsi="微软雅黑" w:eastAsia="微软雅黑"/>
                <w:szCs w:val="21"/>
              </w:rPr>
              <w:t>，首批券商资产管理子公司</w:t>
            </w:r>
          </w:p>
          <w:p w14:paraId="4D6E0E75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全能型资产管理机构，20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多</w:t>
            </w:r>
            <w:r>
              <w:rPr>
                <w:rFonts w:hint="eastAsia" w:ascii="微软雅黑" w:hAnsi="微软雅黑" w:eastAsia="微软雅黑"/>
                <w:szCs w:val="21"/>
              </w:rPr>
              <w:t>年资产管理经验</w:t>
            </w:r>
          </w:p>
          <w:p w14:paraId="122D871B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专业的投研团队，全面的产品体系</w:t>
            </w:r>
          </w:p>
          <w:p w14:paraId="77A4E029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荣获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71</w:t>
            </w:r>
            <w:r>
              <w:rPr>
                <w:rFonts w:hint="eastAsia" w:ascii="微软雅黑" w:hAnsi="微软雅黑" w:eastAsia="微软雅黑"/>
                <w:szCs w:val="21"/>
              </w:rPr>
              <w:t>座业内权威奖项“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</w:rPr>
              <w:t>金牛奖</w:t>
            </w:r>
            <w:r>
              <w:rPr>
                <w:rFonts w:hint="eastAsia" w:ascii="微软雅黑" w:hAnsi="微软雅黑" w:eastAsia="微软雅黑"/>
                <w:szCs w:val="21"/>
              </w:rPr>
              <w:t>”</w:t>
            </w:r>
          </w:p>
          <w:p w14:paraId="0B387E6F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 w:val="28"/>
                <w:szCs w:val="28"/>
              </w:rPr>
            </w:pPr>
            <w:bookmarkStart w:id="0" w:name="_GoBack"/>
            <w:r>
              <w:rPr>
                <w:rFonts w:hint="eastAsia" w:ascii="微软雅黑" w:hAnsi="微软雅黑" w:eastAsia="微软雅黑"/>
                <w:szCs w:val="21"/>
                <w:highlight w:val="none"/>
              </w:rPr>
              <w:t>截至202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  <w:szCs w:val="21"/>
                <w:highlight w:val="none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lang w:val="en-US" w:eastAsia="zh-CN"/>
              </w:rPr>
              <w:t>6月末</w:t>
            </w:r>
            <w:r>
              <w:rPr>
                <w:rFonts w:hint="eastAsia" w:ascii="微软雅黑" w:hAnsi="微软雅黑" w:eastAsia="微软雅黑"/>
                <w:szCs w:val="21"/>
                <w:highlight w:val="none"/>
              </w:rPr>
              <w:t>，公司资产管理规模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lang w:val="en-US" w:eastAsia="zh-CN"/>
              </w:rPr>
              <w:t>超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  <w:highlight w:val="none"/>
                <w:lang w:val="en-US" w:eastAsia="zh-CN"/>
              </w:rPr>
              <w:t>88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  <w:highlight w:val="none"/>
              </w:rPr>
              <w:t>00亿元</w:t>
            </w:r>
            <w:bookmarkEnd w:id="0"/>
          </w:p>
        </w:tc>
        <w:tc>
          <w:tcPr>
            <w:tcW w:w="4261" w:type="dxa"/>
          </w:tcPr>
          <w:p w14:paraId="11570D6B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国泰海通证券股份有限公司由国泰君安与海通证券合并而成，是中国资本市场长期、持续的综合金融服务商。</w:t>
            </w:r>
          </w:p>
          <w:p w14:paraId="53AA71F9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公司分支机构遍布全国31个省市自治区，服务范围覆盖17个国家和地区。</w:t>
            </w:r>
          </w:p>
          <w:p w14:paraId="4CE34ED3">
            <w:pPr>
              <w:spacing w:line="0" w:lineRule="atLeas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  <w:p w14:paraId="4753C7AC">
            <w:pPr>
              <w:spacing w:line="0" w:lineRule="atLeast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（管理人与股东之间实行业务隔离制度，股东情况仅供参考，股东不直接参与产品运作管理）</w:t>
            </w:r>
          </w:p>
        </w:tc>
      </w:tr>
      <w:tr w14:paraId="176D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BC7E407">
            <w:pP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数据来源：国泰海通资管。金牛奖颁奖机构为中国证券报，统计时间为2010年-202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年，近两年管理人类获奖情况为2026.9-五年期金牛券商集合资产管理人、2025.11-三年期金牛券商集合资产管理人、2024.11-五年期金牛券商集合资产管理人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lang w:eastAsia="zh-CN"/>
              </w:rPr>
              <w:t>。</w:t>
            </w:r>
          </w:p>
          <w:p w14:paraId="21DC31C3">
            <w:pPr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上海国泰君安证券资产管理有限公司于2025年7月公司更名为“上海国泰海通证券资产管理有限公司”。</w:t>
            </w:r>
          </w:p>
        </w:tc>
      </w:tr>
    </w:tbl>
    <w:p w14:paraId="36908F24">
      <w:pPr>
        <w:pStyle w:val="4"/>
      </w:pPr>
    </w:p>
    <w:p w14:paraId="37FAF70D"/>
    <w:p w14:paraId="7E6EFB5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公司实力雄厚</w:t>
      </w:r>
    </w:p>
    <w:tbl>
      <w:tblPr>
        <w:tblStyle w:val="6"/>
        <w:tblW w:w="8636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1205"/>
        <w:gridCol w:w="1669"/>
        <w:gridCol w:w="1251"/>
        <w:gridCol w:w="2091"/>
      </w:tblGrid>
      <w:tr w14:paraId="4B254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vAlign w:val="center"/>
          </w:tcPr>
          <w:p w14:paraId="267E3FF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8800亿元</w:t>
            </w:r>
          </w:p>
        </w:tc>
        <w:tc>
          <w:tcPr>
            <w:tcW w:w="1205" w:type="dxa"/>
            <w:vAlign w:val="center"/>
          </w:tcPr>
          <w:p w14:paraId="21550EE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9" w:type="dxa"/>
            <w:vAlign w:val="center"/>
          </w:tcPr>
          <w:p w14:paraId="36698F71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荣获71座</w:t>
            </w:r>
          </w:p>
        </w:tc>
        <w:tc>
          <w:tcPr>
            <w:tcW w:w="1251" w:type="dxa"/>
            <w:vAlign w:val="center"/>
          </w:tcPr>
          <w:p w14:paraId="040755C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1" w:type="dxa"/>
            <w:vAlign w:val="center"/>
          </w:tcPr>
          <w:p w14:paraId="353D3AF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20年</w:t>
            </w:r>
          </w:p>
        </w:tc>
      </w:tr>
      <w:tr w14:paraId="0D46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vAlign w:val="center"/>
          </w:tcPr>
          <w:p w14:paraId="5859637A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资管规模</w:t>
            </w:r>
          </w:p>
        </w:tc>
        <w:tc>
          <w:tcPr>
            <w:tcW w:w="1205" w:type="dxa"/>
            <w:vAlign w:val="center"/>
          </w:tcPr>
          <w:p w14:paraId="7A5281C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9" w:type="dxa"/>
            <w:vAlign w:val="center"/>
          </w:tcPr>
          <w:p w14:paraId="4EF5356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金牛奖</w:t>
            </w:r>
          </w:p>
        </w:tc>
        <w:tc>
          <w:tcPr>
            <w:tcW w:w="1251" w:type="dxa"/>
            <w:vAlign w:val="center"/>
          </w:tcPr>
          <w:p w14:paraId="4198AB4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1" w:type="dxa"/>
            <w:vAlign w:val="center"/>
          </w:tcPr>
          <w:p w14:paraId="33808A8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资管经验</w:t>
            </w:r>
          </w:p>
        </w:tc>
      </w:tr>
    </w:tbl>
    <w:p w14:paraId="06D2C0C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数据来源：国泰海通资管。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资管规模数据时间截至2026.6.30。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金牛奖颁奖机构为中国证券报，统计时间为2010年-2026年，近两年管理人类获奖情况为2026.9-五年期金牛券商集合资产管理人、2025.11-三年期金牛券商集合资产管理人、2024.11-五年期金牛券商集合资产管理人。</w:t>
      </w:r>
    </w:p>
    <w:p w14:paraId="29C2DA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7524B"/>
    <w:multiLevelType w:val="singleLevel"/>
    <w:tmpl w:val="FB6752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F19B41E"/>
    <w:multiLevelType w:val="singleLevel"/>
    <w:tmpl w:val="1F19B4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A1305"/>
    <w:rsid w:val="02B236FF"/>
    <w:rsid w:val="32882FFB"/>
    <w:rsid w:val="3CF1490A"/>
    <w:rsid w:val="76F4656D"/>
    <w:rsid w:val="7E8A1305"/>
    <w:rsid w:val="7FA3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next w:val="1"/>
    <w:unhideWhenUsed/>
    <w:qFormat/>
    <w:uiPriority w:val="0"/>
    <w:pPr>
      <w:spacing w:after="12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