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 Target 3, the commitment now widely known as 30x30 (IUCN 2023). For a state that owns almost none of its own land, this is not a target that can be met by drawing new lines on a map. It requires the willing, informed and lasting consent of hundreds of thousands of customary owners.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 a country whose land belongs to its people rather than its state. The waves carried different theories of how nature might be protected: that protection happened as a by-product of how people already lived; that it could be imposed by the state; that it could be purchased through development; and, most recently, that it might be built on consent. They are not tidy successive eras — each left sediment that the next built upon or around, and elements of all four are visible in the field today. Read this way, Papua New Guinea’s experience is a local instance of a global shift — from the exclusionary “fortress” model, through community-based development, towards a rights-based paradigm that puts local people first (Phillips 2003) — refracted, at every turn, through the fact of customary ownership. The purpose here is not to settle the argument but to be candid about past successes and failures, so that the symposium can turn to the harder question of how to move forward —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The proceedings —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 remain one of the frankest records of practice this country has produced. This symposium stands in that tradition, and draws on Motupore’s testimony throughout.</w:t>
      </w:r>
    </w:p>
    <w:p>
      <w:pPr>
        <w:spacing w:after="140" w:line="276"/>
        <w:jc w:val="both"/>
      </w:pPr>
      <w:r>
        <w:rPr>
          <w:rFonts w:ascii="Calibri" w:cs="Calibri" w:eastAsia="Calibri" w:hAnsi="Calibri"/>
          <w:b/>
          <w:bCs/>
          <w:sz w:val="22"/>
          <w:szCs w:val="22"/>
        </w:rPr>
        <w:t xml:space="preserve">A note on scope, and on a word. </w:t>
      </w:r>
      <w:r>
        <w:rPr>
          <w:rFonts w:ascii="Calibri" w:cs="Calibri" w:eastAsia="Calibri" w:hAnsi="Calibri"/>
          <w:sz w:val="22"/>
          <w:szCs w:val="22"/>
        </w:rPr>
        <w:t xml:space="preserve">This paper concerns terrestrial conservation; Papua New Guinea’s marine and coastal conservation — including the locally managed marine areas among Melanesia’s real successes — is a parallel story beyond its scope. It also uses the word </w:t>
      </w:r>
      <w:r>
        <w:rPr>
          <w:rFonts w:ascii="Calibri" w:cs="Calibri" w:eastAsia="Calibri" w:hAnsi="Calibri"/>
          <w:i/>
          <w:iCs/>
          <w:sz w:val="22"/>
          <w:szCs w:val="22"/>
        </w:rPr>
        <w:t xml:space="preserve">conservation</w:t>
      </w:r>
      <w:r>
        <w:rPr>
          <w:rFonts w:ascii="Calibri" w:cs="Calibri" w:eastAsia="Calibri" w:hAnsi="Calibri"/>
          <w:sz w:val="22"/>
          <w:szCs w:val="22"/>
        </w:rPr>
        <w:t xml:space="preserve"> throughout without ever grounding it — a definition that a community, a practitioner and a donor would each recognise as the same thing. That absence is not an oversight but a live problem, and settling it is, this paper will argue, the first task the symposium must take up (Section 7).</w:t>
      </w:r>
    </w:p>
    <w:p>
      <w:pPr>
        <w:spacing w:after="40" w:before="160"/>
        <w:jc w:val="center"/>
      </w:pPr>
      <w:r>
        <w:drawing>
          <wp:inline distT="0" distB="0" distL="0" distR="0">
            <wp:extent cx="60579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57900" cy="347662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1. </w:t>
      </w:r>
      <w:r>
        <w:rPr>
          <w:rFonts w:ascii="Calibri" w:cs="Calibri" w:eastAsia="Calibri" w:hAnsi="Calibri"/>
          <w:i/>
          <w:iCs/>
          <w:color w:val="444444"/>
          <w:sz w:val="18"/>
          <w:szCs w:val="18"/>
        </w:rPr>
        <w:t xml:space="preserve">The four waves as a process. The starting point moves from a protected area chosen on an outsider’s biodiversity map (Waves 2–3) to one that begins with a community’s own interest (Wave 4); and the outcome deepens from a bare designation, through one with benefits, to an area under durable local management.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 including the demographic weight of warfare —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 small populations, no cash economy, enforced territorial limits —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double-edged. Customary knowledge and institutions are genuine assets that any credible approach must build on; but romanticising them — treating ‘traditional’ society as a conservation model waiting to be switched back on — misreads the past. The task is not to restore an imagined equilibrium but to construct a new one under conditions of cash, roads, population growth and logging that the old one never faced.</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the model contained a contradiction it could never resolve: the state owned almost none of the land it wished to protect, so its parks were either small islands on alienated land or depended on customary owners given little reason to cooperate and often not meaningfully consulted.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 the figure is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 about 2.8 per cent of the land area —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This was no passing impression. A 1999 review had found that 89 per cent of the country’s protected areas had no or minimal management structure, and the 2006 assessment using WWF’s Rapid Assessment and Prioritisation of Protected Area Management (RAPPAM) methodology confirmed a system that was, in effect, </w:t>
      </w:r>
      <w:r>
        <w:rPr>
          <w:rFonts w:ascii="Calibri" w:cs="Calibri" w:eastAsia="Calibri" w:hAnsi="Calibri"/>
          <w:i/>
          <w:iCs/>
          <w:sz w:val="22"/>
          <w:szCs w:val="22"/>
        </w:rPr>
        <w:t xml:space="preserve">not being managed</w:t>
      </w:r>
      <w:r>
        <w:rPr>
          <w:rFonts w:ascii="Calibri" w:cs="Calibri" w:eastAsia="Calibri" w:hAnsi="Calibri"/>
          <w:sz w:val="22"/>
          <w:szCs w:val="22"/>
        </w:rPr>
        <w:t xml:space="preserve">: existing protected areas “were not working”, logging and mining concessions were being declared over the top of them, and no resources were being allocated to their management (Chatterton et al. 2006). Two decades of the state-led model had produced a scattering of paper parks and a hard lesson: on customary land, protection that is imposed rather than owned — and unfunded once declared —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 a line secured, a declaration signed —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 Lak, Bismarck–Ramu, Crater Mountain, the Oro Butterfly Project, Kamiali, Kikori Basin and the Hunstein Range among them. Enough have now run their course that their record can be read honestly — the richest source of practical instruction this country possesses.</w:t>
      </w:r>
    </w:p>
    <w:p>
      <w:pPr>
        <w:spacing w:after="140" w:line="276"/>
        <w:jc w:val="both"/>
      </w:pPr>
      <w:r>
        <w:rPr>
          <w:rFonts w:ascii="Calibri" w:cs="Calibri" w:eastAsia="Calibri" w:hAnsi="Calibri"/>
          <w:sz w:val="22"/>
          <w:szCs w:val="22"/>
        </w:rPr>
        <w:t xml:space="preserve">Before any of these projects reached a village, a more fundamental choice had already been made: where to work. The answer came not from communities but from a map. ICAD sites were chosen for their biodiversity value as judged by outside science — a list of “priority forest areas” of “exceptional biodiversity values… under immediate threat by commercial logging”, formalised nationally in the Conservation Needs Assessment (Alcorn and Beehler 1993). Filer (2004a) named the reasoning the </w:t>
      </w:r>
      <w:r>
        <w:rPr>
          <w:rFonts w:ascii="Calibri" w:cs="Calibri" w:eastAsia="Calibri" w:hAnsi="Calibri"/>
          <w:i/>
          <w:iCs/>
          <w:sz w:val="22"/>
          <w:szCs w:val="22"/>
        </w:rPr>
        <w:t xml:space="preserve">“hotspot mentality”</w:t>
      </w:r>
      <w:r>
        <w:rPr>
          <w:rFonts w:ascii="Calibri" w:cs="Calibri" w:eastAsia="Calibri" w:hAnsi="Calibri"/>
          <w:sz w:val="22"/>
          <w:szCs w:val="22"/>
        </w:rPr>
        <w:t xml:space="preserve">: conservation money should be spent where biodiversity is most abundant and most threatened, and cooperation would then be secured, through the “handouts” of development, from whoever happened to live there. The starting point of an ICAD was thus an outsider’s biodiversity priority, not a community’s wish to conserve, so local interest had to be manufactured after the site was chosen. That single fact — conservation beginning from a map rather than from the people who owned the place — is the root from which most of the failures below grow, and the sharpest line between the ICAD era and what came after.</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 </w:t>
      </w:r>
      <w:r>
        <w:rPr>
          <w:rFonts w:ascii="Calibri" w:cs="Calibri" w:eastAsia="Calibri" w:hAnsi="Calibri"/>
          <w:i/>
          <w:iCs/>
          <w:sz w:val="22"/>
          <w:szCs w:val="22"/>
        </w:rPr>
        <w:t xml:space="preserve">Pursuing the ‘D’</w:t>
      </w:r>
      <w:r>
        <w:rPr>
          <w:rFonts w:ascii="Calibri" w:cs="Calibri" w:eastAsia="Calibri" w:hAnsi="Calibri"/>
          <w:sz w:val="22"/>
          <w:szCs w:val="22"/>
        </w:rPr>
        <w:t xml:space="preserve"> — points at the difficulty: the assumed link between delivering development and achieving conservation was the part that kept failing. Sekhran (1996) saw it plainly: “material incentives alone are unlikely to achieve conservation objectives”, since communities who aspire to more than a project can supply will “either sell out to the highest bidder or increase extraction… beyond sustainable levels”. Non-material, “moral” incentives were needed to reinforce the economic ones. The ICAD wave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 a community sustainable-forestry enterprise —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framing is instructive: the result was negative but the outcome positive, because the lessons were documented so thoroughly that they could travel. Chief among them — that a development inducement cannot compete with an already-open logging frontier, and that consent must be built before a project is designed, not purchased after — fed directly into the participatory method later trialled at Bismarck–Ramu.</w:t>
      </w:r>
    </w:p>
    <w:p>
      <w:pPr>
        <w:pStyle w:val="Heading2"/>
        <w:spacing w:after="100" w:before="200"/>
      </w:pPr>
      <w:r>
        <w:rPr>
          <w:rFonts w:ascii="Calibri" w:cs="Calibri" w:eastAsia="Calibri" w:hAnsi="Calibri"/>
          <w:b/>
          <w:bCs/>
          <w:color w:val="1F5C2E"/>
          <w:sz w:val="25"/>
          <w:szCs w:val="25"/>
        </w:rPr>
        <w:t xml:space="preserve">4.2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community partnership and self-reliance — rejecting the idea that conservation should be traded for material handouts, and centring instead on empowering communities to decide for themselves. The donor project ended; the BRG endured. It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4.3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and remembered as the era’s flagship, generated real innovation in community participation and monitoring, reported first-hand at Motupore (Saulei and Ellis 1997). Yet Filer (2004a) uses it to show the era’s recurring weakness: the “cooperative endeavour” often stayed superficial, each side holding a different, unspoken theory of what it was for. Communities read the project as another kind of developer — a source of goods; staff read it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4.4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 the world’s largest butterfly, found only in Oro Province and carried on the provincial flag — in its natural habitat on the Popondetta Plains and the Managalas Plateau —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an ecotourism guesthouse funded for one landowner, a water well for another, small cash allowances for twelve “landowner conservationists” who monitored the butterfly and reported at six-monthly workshops, and enterprise experiments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(Zibe-Kokino and Girard 1997) rounds out a picture whose regularities are by now unmistakable. Across the cases the same mechanisms recur: development inducements bred cargo-style expectations no project could satisfy; conservation returns could not out-compete timber royalties (Filer 2004a); cooperation was often superficial and mutually misunderstood; communities slid into dependency;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the pattern its most uncomfortable formulation, in a paper whose title says almost everything: “Why Forest Dwellers Prefer Loggers to Conservationists.” His point is not that communities do not value their forests, but that without a competitive alternative they will rationally take the logger who pays now over the conservationist who promises later. His remedy —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By the time the ICAD wave crested, conservation scholarship globally had conceded that the celebrated “win–win” of conservation and development was an assumption, not a demonstrated result; Fisher and colleagues (2008), in a landmark IUCN synthesis, warned that trade-offs are real and their costs too often “borne by the” local poor. The local cases above are less a record of Papua New Guinean failure than a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 which places it in the wave described next, not this one. The distinction is temporal as well as legal: the Oro Conservation Project of the 1990s did not itself gazette anything; Managalas was gazetted only in 2017, two decades later —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 and it is being carried, increasingly, by Papua New Guinean institutions rather than foreign projects. In practice it begins with an act of communication: telling communities, broadly and without steering, that conservation is an option they may choose for their own land — and then letting those who are interested come forward, rather than selecting them from a map.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 the Tree Kangaroo Conservation Program — embedded in the community over many years. Its architects are candid that the country still has “few proven models”, and that field projects are best understood as “working experiments” rather than finished templates (Beehler and Kirkman 2013).</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 deeds now spreading among Papua New Guinean landowners — voluntary, legally-binding contracts by which clans place their own land off-limits to logging and mining without surrendering it into a state protected-area category — show landowners and Papua New Guinean organisations designing and holding conservation on their own terms. Zeriga and Jimbudo (2024) describe why clans increasingly prefer the deed to gazettal: the process is led by the community, the rules are made and policed locally — “more effective governance”, in their words — the contract is written “in a language that the community can understand”, and the mapping it requires validates clan boundaries in the bargain. It began with Wanang in Madang in 2000, where eleven clans banded together to refuse logging; such areas are now forming, on their reckoning, at about 1.5 a year. The deed’s honest limit is the one a funder would press: the approach is, as they say, “yet to be documented and evaluated”.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It is worth being candid about how these cases arise, because none is the clean archetype the label “Wave Four” implies. Most began </w:t>
      </w:r>
      <w:r>
        <w:rPr>
          <w:rFonts w:ascii="Calibri" w:cs="Calibri" w:eastAsia="Calibri" w:hAnsi="Calibri"/>
          <w:i/>
          <w:iCs/>
          <w:sz w:val="22"/>
          <w:szCs w:val="22"/>
        </w:rPr>
        <w:t xml:space="preserve">targeted</w:t>
      </w:r>
      <w:r>
        <w:rPr>
          <w:rFonts w:ascii="Calibri" w:cs="Calibri" w:eastAsia="Calibri" w:hAnsi="Calibri"/>
          <w:sz w:val="22"/>
          <w:szCs w:val="22"/>
        </w:rPr>
        <w:t xml:space="preserve"> — around a single flagship species — and broadened only later. YUS and the Torricelli programme both grew from tree kangaroos (the Tenkile that gives the Tenkile Conservation Alliance its name); the Oro Butterfly began with the Queen Alexandra’s Birdwing. Torricelli is instructive twice over: some fifty villages and thirteen thousand landowners have consented to a conservation area of roughly 1,250 square kilometres, yet the proposal, first lodged in 2008, remains ungazetted — held up not by the communities but by the logging politics around them. Only Managalas began from land rights rather than a species, and even it matured over some thirty years. Wave Four is less a finished template than an evolving trajectory — which is why the recognition question, below, is the sharper one.</w:t>
      </w:r>
    </w:p>
    <w:p>
      <w:pPr>
        <w:spacing w:after="140" w:line="276"/>
        <w:jc w:val="both"/>
      </w:pPr>
      <w:r>
        <w:rPr>
          <w:rFonts w:ascii="Calibri" w:cs="Calibri" w:eastAsia="Calibri" w:hAnsi="Calibri"/>
          <w:sz w:val="22"/>
          <w:szCs w:val="22"/>
        </w:rPr>
        <w:t xml:space="preserve">It would be premature to call these successes. YUS and Managalas are young — gazetted in 2009 and 2017 — and their durability is unproven; the 2017 national assessment found management across the system still “patchy and problematic” (Leverington, Peterson and Peterson 2017). They are best read not as proof that the consent model works, but as the most promising evidence so far that it might.</w:t>
      </w:r>
    </w:p>
    <w:p>
      <w:pPr>
        <w:spacing w:after="140" w:line="276"/>
        <w:jc w:val="both"/>
      </w:pPr>
      <w:r>
        <w:rPr>
          <w:rFonts w:ascii="Calibri" w:cs="Calibri" w:eastAsia="Calibri" w:hAnsi="Calibri"/>
          <w:sz w:val="22"/>
          <w:szCs w:val="22"/>
        </w:rPr>
        <w:t xml:space="preserve">The legal architecture has now caught up with the ambition. The 2014 Policy on Protected Areas set the framework — five pillars for a national system — and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gave it statutory force, establishing a national Protected Area Network and a Biodiversity and Climate Fund and aligning the country with the 30x30 commitment. The gap it must close is stark. Formal protected-area coverage stood at about 2.8 per cent of the land in the mid-1990s (Sekhran 1996) and, on the most recent national figures, has crept only to around 4 per cent — some 61 areas, more than nine in ten of them Wildlife Management Areas (Melick et al. 2012) — well short of the 30 per cent that Target 3 envisages for 2030. And that is merely designated area; the share under genuinely effective management is far smaller, put by Zeriga and Jimbudo (2024) at under 1 per cent. </w:t>
      </w:r>
      <w:r>
        <w:rPr>
          <w:rFonts w:ascii="Calibri" w:cs="Calibri" w:eastAsia="Calibri" w:hAnsi="Calibri"/>
          <w:sz w:val="22"/>
          <w:szCs w:val="22"/>
        </w:rPr>
        <w:t xml:space="preserve"> The distance between a few effective per cent and thirty is not an incidental shortfall to be made up with a few more gazettals. On land that is 97 per cent customary, it is a structural challenge that can only be met one act of consent at a time.</w:t>
      </w:r>
    </w:p>
    <w:p>
      <w:pPr>
        <w:spacing w:after="140" w:line="276"/>
        <w:jc w:val="both"/>
      </w:pPr>
      <w:r>
        <w:rPr>
          <w:rFonts w:ascii="Calibri" w:cs="Calibri" w:eastAsia="Calibri" w:hAnsi="Calibri"/>
          <w:sz w:val="22"/>
          <w:szCs w:val="22"/>
        </w:rPr>
        <w:t xml:space="preserve">Coverage, in any case, is only half of what Target 3 asks. It calls for conservation that is </w:t>
      </w:r>
      <w:r>
        <w:rPr>
          <w:rFonts w:ascii="Calibri" w:cs="Calibri" w:eastAsia="Calibri" w:hAnsi="Calibri"/>
          <w:i/>
          <w:iCs/>
          <w:sz w:val="22"/>
          <w:szCs w:val="22"/>
        </w:rPr>
        <w:t xml:space="preserve">effective</w:t>
      </w:r>
      <w:r>
        <w:rPr>
          <w:rFonts w:ascii="Calibri" w:cs="Calibri" w:eastAsia="Calibri" w:hAnsi="Calibri"/>
          <w:sz w:val="22"/>
          <w:szCs w:val="22"/>
        </w:rPr>
        <w:t xml:space="preserve">, and effectiveness is precisely where the global record is weakest: Leverington and colleagues (2010), synthesising more than 8,000 assessments worldwide, found that around 40 per cent of protected areas had major management deficiencies. Papua New Guinea is no exception. The most recent national assessment — Leverington, Peterson and Peterson (2017), applying a locally adapted tracking tool (the PNG-METT) to the country’s 57 gazetted protected areas — put it starkly: “while protected areas were established on paper, their management has remained patchy and problematic”. Establishment was “by far the strongest theme, with resource management the weakest”; and most of the recommendations of the 2006 RAPPAM study had gone unimplemented, several areas having since been wholly or partly cleared and lost much of their value; forest loss inside many Wildlife Management Areas has run no lower than outside them (Melick et al. 2012). That is, in current data, the clearest possible restatement of the problem this paper has traced: Papua New Guinea has become reasonably good at the </w:t>
      </w:r>
      <w:r>
        <w:rPr>
          <w:rFonts w:ascii="Calibri" w:cs="Calibri" w:eastAsia="Calibri" w:hAnsi="Calibri"/>
          <w:i/>
          <w:iCs/>
          <w:sz w:val="22"/>
          <w:szCs w:val="22"/>
        </w:rPr>
        <w:t xml:space="preserve">event</w:t>
      </w:r>
      <w:r>
        <w:rPr>
          <w:rFonts w:ascii="Calibri" w:cs="Calibri" w:eastAsia="Calibri" w:hAnsi="Calibri"/>
          <w:sz w:val="22"/>
          <w:szCs w:val="22"/>
        </w:rPr>
        <w:t xml:space="preserve"> of declaring a protected area, and remains weak at the long </w:t>
      </w:r>
      <w:r>
        <w:rPr>
          <w:rFonts w:ascii="Calibri" w:cs="Calibri" w:eastAsia="Calibri" w:hAnsi="Calibri"/>
          <w:i/>
          <w:iCs/>
          <w:sz w:val="22"/>
          <w:szCs w:val="22"/>
        </w:rPr>
        <w:t xml:space="preserve">management</w:t>
      </w:r>
      <w:r>
        <w:rPr>
          <w:rFonts w:ascii="Calibri" w:cs="Calibri" w:eastAsia="Calibri" w:hAnsi="Calibri"/>
          <w:sz w:val="22"/>
          <w:szCs w:val="22"/>
        </w:rPr>
        <w:t xml:space="preserve"> that is supposed to follow. Reaching 30x30 by adding hectares while that gap persists would enlarge the map without protecting much more forest. </w:t>
      </w:r>
    </w:p>
    <w:p>
      <w:pPr>
        <w:spacing w:after="140" w:line="276"/>
        <w:jc w:val="both"/>
      </w:pPr>
      <w:r>
        <w:rPr>
          <w:rFonts w:ascii="Calibri" w:cs="Calibri" w:eastAsia="Calibri" w:hAnsi="Calibri"/>
          <w:sz w:val="22"/>
          <w:szCs w:val="22"/>
        </w:rPr>
        <w:t xml:space="preserve">Consent, moreover, is not a signature but a relationship sustained for decades, and sustaining it costs money. Here Wave Four still shares a frontier with Wave Three: a landowner who agrees not to log has foregone a real income, and unless that opportunity cost is honestly met the agreement will erode as the ICAD bargains did. Novotny’s (2010) conservation royalty, payment for ecosystem services, and the Biodiversity and Climate Fund under the Protected Areas Act 2024 are all attempts at an answer. The unresolved question is whether any can deliver reliable, long-term finance to hundreds of thousands of owners — the difference between consent bought once and consent kept.</w:t>
      </w:r>
    </w:p>
    <w:p>
      <w:pPr>
        <w:pStyle w:val="Heading1"/>
        <w:spacing w:after="140" w:before="280"/>
      </w:pPr>
      <w:r>
        <w:rPr>
          <w:rFonts w:ascii="Calibri" w:cs="Calibri" w:eastAsia="Calibri" w:hAnsi="Calibri"/>
          <w:b/>
          <w:bCs/>
          <w:color w:val="1F5C2E"/>
          <w:sz w:val="30"/>
          <w:szCs w:val="30"/>
        </w:rPr>
        <w:t xml:space="preserve">6.  The ground the future stands on</w:t>
      </w:r>
    </w:p>
    <w:p>
      <w:pPr>
        <w:spacing w:after="140" w:line="276"/>
        <w:jc w:val="both"/>
      </w:pPr>
      <w:r>
        <w:rPr>
          <w:rFonts w:ascii="Calibri" w:cs="Calibri" w:eastAsia="Calibri" w:hAnsi="Calibri"/>
          <w:sz w:val="22"/>
          <w:szCs w:val="22"/>
        </w:rPr>
        <w:t xml:space="preserve">Any honest account of what conservation must become in Papua New Guinea begins from the realities of the country it serves. The population is young and growing. Formal, salaried employment reaches only a minority; for most citizens a livelihood is drawn directly from the land — gardens, hunting, cash crops, and the sale of timber and other resources. And the national aspiration, widely shared, is for more: more agriculture, more roads, more infrastructure, more of the services that growth is expected to bring.</w:t>
      </w:r>
    </w:p>
    <w:p>
      <w:pPr>
        <w:spacing w:after="140" w:line="276"/>
        <w:jc w:val="both"/>
      </w:pPr>
      <w:r>
        <w:rPr>
          <w:rFonts w:ascii="Calibri" w:cs="Calibri" w:eastAsia="Calibri" w:hAnsi="Calibri"/>
          <w:sz w:val="22"/>
          <w:szCs w:val="22"/>
        </w:rPr>
        <w:t xml:space="preserve">These are not obstacles but the legitimate conditions of national life, and the development agenda names them plainly. Conservation is written into that agenda — from the Fourth Goal of the Constitution, through Vision 2050 and the Development Strategic Plan 2010–2030, to the current </w:t>
      </w:r>
      <w:r>
        <w:rPr>
          <w:rFonts w:ascii="Calibri" w:cs="Calibri" w:eastAsia="Calibri" w:hAnsi="Calibri"/>
          <w:i/>
          <w:iCs/>
          <w:sz w:val="22"/>
          <w:szCs w:val="22"/>
        </w:rPr>
        <w:t xml:space="preserve">Medium Term Development Plan IV</w:t>
      </w:r>
      <w:r>
        <w:rPr>
          <w:rFonts w:ascii="Calibri" w:cs="Calibri" w:eastAsia="Calibri" w:hAnsi="Calibri"/>
          <w:sz w:val="22"/>
          <w:szCs w:val="22"/>
        </w:rPr>
        <w:t xml:space="preserve">, 2023–2027. But its centre of gravity is unmistakably growth: MTDP IV is subtitled </w:t>
      </w:r>
      <w:r>
        <w:rPr>
          <w:rFonts w:ascii="Calibri" w:cs="Calibri" w:eastAsia="Calibri" w:hAnsi="Calibri"/>
          <w:i/>
          <w:iCs/>
          <w:sz w:val="22"/>
          <w:szCs w:val="22"/>
        </w:rPr>
        <w:t xml:space="preserve">National Prosperity Through Growing the Economy</w:t>
      </w:r>
      <w:r>
        <w:rPr>
          <w:rFonts w:ascii="Calibri" w:cs="Calibri" w:eastAsia="Calibri" w:hAnsi="Calibri"/>
          <w:sz w:val="22"/>
          <w:szCs w:val="22"/>
        </w:rPr>
        <w:t xml:space="preserve">, its headline targets are a K200 billion economy and one million new jobs by 2030, and its Strategic Priority Areas lead with commercial agriculture and the Connect PNG infrastructure programme, with environmental protection eleventh of twelve. Conservation, in the national plan, is present but not paramount.</w:t>
      </w:r>
    </w:p>
    <w:p>
      <w:pPr>
        <w:spacing w:after="140" w:line="276"/>
        <w:jc w:val="both"/>
      </w:pPr>
      <w:r>
        <w:rPr>
          <w:rFonts w:ascii="Calibri" w:cs="Calibri" w:eastAsia="Calibri" w:hAnsi="Calibri"/>
          <w:sz w:val="22"/>
          <w:szCs w:val="22"/>
        </w:rPr>
        <w:t xml:space="preserve">It helps to see how land-use decisions are actually made. They are settled at the meeting-point of three things: knowledge of what a place is and could be; the needs of the people who live there; and the technical and financial capacity to act. Each sits with a different party. Knowledge is something the conservation effort can supply — providing it is part of the conservation agenda. Technical and financial capacity is largely the government’s to marshal. But needs belong to the community, and they are the least well understood and the least well communicated of the three. A conservation model that cannot hear and represent community needs is missing the very term on which land-use decisions turn.</w:t>
      </w:r>
    </w:p>
    <w:p>
      <w:pPr>
        <w:spacing w:after="140" w:line="276"/>
        <w:jc w:val="both"/>
      </w:pPr>
      <w:r>
        <w:rPr>
          <w:rFonts w:ascii="Calibri" w:cs="Calibri" w:eastAsia="Calibri" w:hAnsi="Calibri"/>
          <w:sz w:val="22"/>
          <w:szCs w:val="22"/>
        </w:rPr>
        <w:t xml:space="preserve">The implication is direct. Conservation here cannot be posed against development, because the people who own the forests need both — a living from their land and the protection of it; as Melick and colleagues (2012) argue, resource-use decisions here are ultimately political, and any workable approach must be “holistic resource management that includes development”. The future turns on securing the two together — which is why the definition the symposium must settle, taken up next, cannot be one of nature protection alone.</w:t>
      </w:r>
    </w:p>
    <w:p>
      <w:pPr>
        <w:pStyle w:val="Heading1"/>
        <w:spacing w:after="140" w:before="280"/>
      </w:pPr>
      <w:r>
        <w:rPr>
          <w:rFonts w:ascii="Calibri" w:cs="Calibri" w:eastAsia="Calibri" w:hAnsi="Calibri"/>
          <w:b/>
          <w:bCs/>
          <w:color w:val="1F5C2E"/>
          <w:sz w:val="30"/>
          <w:szCs w:val="30"/>
        </w:rPr>
        <w:t xml:space="preserve">7.  From the pathway to the questions</w:t>
      </w:r>
    </w:p>
    <w:p>
      <w:pPr>
        <w:spacing w:after="140" w:line="276"/>
        <w:jc w:val="both"/>
      </w:pPr>
      <w:r>
        <w:rPr>
          <w:rFonts w:ascii="Calibri" w:cs="Calibri" w:eastAsia="Calibri" w:hAnsi="Calibri"/>
          <w:sz w:val="22"/>
          <w:szCs w:val="22"/>
        </w:rPr>
        <w:t xml:space="preserve">The questions that follow are not abstract. They can be read straight off the Wave Four pathway in Figure 1 — a receptive community, then consensus, then a protected area under local management — because that pathway is the model this symposium is really convened to test. Each step along it raises a practical question, and one question underlies them all.</w:t>
      </w:r>
    </w:p>
    <w:p>
      <w:pPr>
        <w:spacing w:after="140" w:line="276"/>
        <w:jc w:val="both"/>
      </w:pPr>
      <w:r>
        <w:rPr>
          <w:rFonts w:ascii="Calibri" w:cs="Calibri" w:eastAsia="Calibri" w:hAnsi="Calibri"/>
          <w:b/>
          <w:bCs/>
          <w:sz w:val="22"/>
          <w:szCs w:val="22"/>
        </w:rPr>
        <w:t xml:space="preserve">Before a definition, a prior question: what is being conserved? </w:t>
      </w:r>
      <w:r>
        <w:rPr>
          <w:rFonts w:ascii="Calibri" w:cs="Calibri" w:eastAsia="Calibri" w:hAnsi="Calibri"/>
          <w:sz w:val="22"/>
          <w:szCs w:val="22"/>
        </w:rPr>
        <w:t xml:space="preserve">The candidates are not the same thing. Forest structure — the standing trees? The biodiversity within them? The carbon they hold? Or the things the forest carries for its owners: their livelihoods, their culture, their language, the traditions and knowledge bound to particular places, the people themselves? International practice has widened its answer over time — the IUCN’s protected-area definition now speaks of nature “with associated ecosystem services and cultural values”, and the new paradigm brings people in (Phillips 2003) — yet it still insists that conservation be the primary objective of a protected area, which, as Melick and colleagues (2012) observe, “raises obvious questions as to whether the IUCN notion of protected areas is at all relevant for Melanesia”, where people and land are inseparable. Zeriga and Jimbudo (2024) put the difference from the inside: where the West seeks to conserve “the inherent value of nature”, the Indigenous concern is “to perpetuate the aspects of nature that are useful for survival” — and most Papua New Guineans, still living from the forest, “see conservation as protecting forest resources from overexploitation”. An audience should be walked to a definition, target by target, not simply handed one.</w:t>
      </w:r>
    </w:p>
    <w:p>
      <w:pPr>
        <w:spacing w:after="140" w:line="276"/>
        <w:jc w:val="both"/>
      </w:pPr>
      <w:r>
        <w:rPr>
          <w:rFonts w:ascii="Calibri" w:cs="Calibri" w:eastAsia="Calibri" w:hAnsi="Calibri"/>
          <w:b/>
          <w:bCs/>
          <w:sz w:val="22"/>
          <w:szCs w:val="22"/>
        </w:rPr>
        <w:t xml:space="preserve">So — what do we actually mean by conservation? </w:t>
      </w:r>
      <w:r>
        <w:rPr>
          <w:rFonts w:ascii="Calibri" w:cs="Calibri" w:eastAsia="Calibri" w:hAnsi="Calibri"/>
          <w:sz w:val="22"/>
          <w:szCs w:val="22"/>
        </w:rPr>
        <w:t xml:space="preserve">This paper has used the word on every page without grounding it, and that is precisely the point. Conservation means very different things to a global donor, a national agency and a customary landowner, and much of the failure traced above began in that unspoken gap. Before the pathway can be walked, the parties must be sure they are describing the same thing — a definition a community, a practitioner and a donor would each recognise and accept. Arriving at it is, this paper argues, the first task of the symposium. As a starting point for that discussion — and no more than a starting point — the paper offers this: </w:t>
      </w:r>
      <w:r>
        <w:rPr>
          <w:rFonts w:ascii="Calibri" w:cs="Calibri" w:eastAsia="Calibri" w:hAnsi="Calibri"/>
          <w:b/>
          <w:bCs/>
          <w:i/>
          <w:iCs/>
          <w:sz w:val="22"/>
          <w:szCs w:val="22"/>
        </w:rPr>
        <w:t xml:space="preserve">conservation in Papua New Guinea is the deliberate and lasting care of a customary landscape by the people who own it, in a way that keeps its forests, waters and wildlife healthy while also providing a livelihood from them — sustaining nature, community and social order together for generations to come — with government, non-government organisations and funders in support rather than in charge.</w:t>
      </w:r>
      <w:r>
        <w:rPr>
          <w:rFonts w:ascii="Calibri" w:cs="Calibri" w:eastAsia="Calibri" w:hAnsi="Calibri"/>
          <w:sz w:val="22"/>
          <w:szCs w:val="22"/>
        </w:rPr>
        <w:t xml:space="preserve"> Whether that is the right wording, or even the right idea, is exactly what the participants must decide.</w:t>
      </w:r>
    </w:p>
    <w:p>
      <w:pPr>
        <w:spacing w:after="140" w:line="276"/>
        <w:jc w:val="both"/>
      </w:pPr>
      <w:r>
        <w:rPr>
          <w:rFonts w:ascii="Calibri" w:cs="Calibri" w:eastAsia="Calibri" w:hAnsi="Calibri"/>
          <w:sz w:val="22"/>
          <w:szCs w:val="22"/>
        </w:rPr>
        <w:t xml:space="preserve">A definition that satisfies a community, however, is not automatically one that satisfies a funder. Donors, international partners and the 30x30 accounting require conservation that is </w:t>
      </w:r>
      <w:r>
        <w:rPr>
          <w:rFonts w:ascii="Calibri" w:cs="Calibri" w:eastAsia="Calibri" w:hAnsi="Calibri"/>
          <w:i/>
          <w:iCs/>
          <w:sz w:val="22"/>
          <w:szCs w:val="22"/>
        </w:rPr>
        <w:t xml:space="preserve">bounded</w:t>
      </w:r>
      <w:r>
        <w:rPr>
          <w:rFonts w:ascii="Calibri" w:cs="Calibri" w:eastAsia="Calibri" w:hAnsi="Calibri"/>
          <w:sz w:val="22"/>
          <w:szCs w:val="22"/>
        </w:rPr>
        <w:t xml:space="preserve"> — delimited in space — and </w:t>
      </w:r>
      <w:r>
        <w:rPr>
          <w:rFonts w:ascii="Calibri" w:cs="Calibri" w:eastAsia="Calibri" w:hAnsi="Calibri"/>
          <w:i/>
          <w:iCs/>
          <w:sz w:val="22"/>
          <w:szCs w:val="22"/>
        </w:rPr>
        <w:t xml:space="preserve">governed</w:t>
      </w:r>
      <w:r>
        <w:rPr>
          <w:rFonts w:ascii="Calibri" w:cs="Calibri" w:eastAsia="Calibri" w:hAnsi="Calibri"/>
          <w:sz w:val="22"/>
          <w:szCs w:val="22"/>
        </w:rPr>
        <w:t xml:space="preserve"> — under a credible, accountable authority. They also, reasonably, want it to deliver </w:t>
      </w:r>
      <w:r>
        <w:rPr>
          <w:rFonts w:ascii="Calibri" w:cs="Calibri" w:eastAsia="Calibri" w:hAnsi="Calibri"/>
          <w:i/>
          <w:iCs/>
          <w:sz w:val="22"/>
          <w:szCs w:val="22"/>
        </w:rPr>
        <w:t xml:space="preserve">measured, reported outcomes</w:t>
      </w:r>
      <w:r>
        <w:rPr>
          <w:rFonts w:ascii="Calibri" w:cs="Calibri" w:eastAsia="Calibri" w:hAnsi="Calibri"/>
          <w:sz w:val="22"/>
          <w:szCs w:val="22"/>
        </w:rPr>
        <w:t xml:space="preserve"> — what is the work achieving? — to be </w:t>
      </w:r>
      <w:r>
        <w:rPr>
          <w:rFonts w:ascii="Calibri" w:cs="Calibri" w:eastAsia="Calibri" w:hAnsi="Calibri"/>
          <w:i/>
          <w:iCs/>
          <w:sz w:val="22"/>
          <w:szCs w:val="22"/>
        </w:rPr>
        <w:t xml:space="preserve">lasting</w:t>
      </w:r>
      <w:r>
        <w:rPr>
          <w:rFonts w:ascii="Calibri" w:cs="Calibri" w:eastAsia="Calibri" w:hAnsi="Calibri"/>
          <w:sz w:val="22"/>
          <w:szCs w:val="22"/>
        </w:rPr>
        <w:t xml:space="preserve">, since work that merely monitors a decline is not conservation; to be </w:t>
      </w:r>
      <w:r>
        <w:rPr>
          <w:rFonts w:ascii="Calibri" w:cs="Calibri" w:eastAsia="Calibri" w:hAnsi="Calibri"/>
          <w:i/>
          <w:iCs/>
          <w:sz w:val="22"/>
          <w:szCs w:val="22"/>
        </w:rPr>
        <w:t xml:space="preserve">active and additional</w:t>
      </w:r>
      <w:r>
        <w:rPr>
          <w:rFonts w:ascii="Calibri" w:cs="Calibri" w:eastAsia="Calibri" w:hAnsi="Calibri"/>
          <w:sz w:val="22"/>
          <w:szCs w:val="22"/>
        </w:rPr>
        <w:t xml:space="preserve">, producing a result that would not have happened anyway rather than the mere absence of disturbance; and to be </w:t>
      </w:r>
      <w:r>
        <w:rPr>
          <w:rFonts w:ascii="Calibri" w:cs="Calibri" w:eastAsia="Calibri" w:hAnsi="Calibri"/>
          <w:i/>
          <w:iCs/>
          <w:sz w:val="22"/>
          <w:szCs w:val="22"/>
        </w:rPr>
        <w:t xml:space="preserve">cost-effective</w:t>
      </w:r>
      <w:r>
        <w:rPr>
          <w:rFonts w:ascii="Calibri" w:cs="Calibri" w:eastAsia="Calibri" w:hAnsi="Calibri"/>
          <w:sz w:val="22"/>
          <w:szCs w:val="22"/>
        </w:rPr>
        <w:t xml:space="preserve">, because money that disappears into meetings and administrative structure buys no measurable conservation, and donors know it. Yet the market logic beneath these demands carries its own danger. Henning (2015) shows that direct payments in Melanesia falter when treated as market exchange between self-interested strangers, because landowners understand them as reciprocal obligations within a lasting relationship; to reduce the goals of conservation, as she puts it, to “those of self-interested, cost-benefit rationality” is to misread the ground it stands on. How to hold the two together — capacious enough to be owned locally, yet bounded, governed, measured and lasting enough to be funded internationally — is among the questions the symposium must leave open.</w:t>
      </w:r>
    </w:p>
    <w:p>
      <w:pPr>
        <w:spacing w:after="140" w:line="276"/>
        <w:jc w:val="both"/>
      </w:pPr>
      <w:r>
        <w:rPr>
          <w:rFonts w:ascii="Calibri" w:cs="Calibri" w:eastAsia="Calibri" w:hAnsi="Calibri"/>
          <w:b/>
          <w:bCs/>
          <w:sz w:val="22"/>
          <w:szCs w:val="22"/>
        </w:rPr>
        <w:t xml:space="preserve">At the start of the path — how do communities learn this is an option at all? </w:t>
      </w:r>
      <w:r>
        <w:rPr>
          <w:rFonts w:ascii="Calibri" w:cs="Calibri" w:eastAsia="Calibri" w:hAnsi="Calibri"/>
          <w:sz w:val="22"/>
          <w:szCs w:val="22"/>
        </w:rPr>
        <w:t xml:space="preserve">Wave Four begins not with a chosen site but with a receptive community — and a community cannot choose an option it does not understand. The first practical question is therefore one of communication in two directions. How do conservation practitioners get the message out, broadly and without steering, that conservation is an option available to landowners — something they may choose for their own land, on their own terms? And when a community becomes interested, how does it then approach government, NGOs and funders to register that interest and ask to hear more — is there a ‘front door’ to walk through, and who keeps it open?</w:t>
      </w:r>
    </w:p>
    <w:p>
      <w:pPr>
        <w:spacing w:after="140" w:line="276"/>
        <w:jc w:val="both"/>
      </w:pPr>
      <w:r>
        <w:rPr>
          <w:rFonts w:ascii="Calibri" w:cs="Calibri" w:eastAsia="Calibri" w:hAnsi="Calibri"/>
          <w:b/>
          <w:bCs/>
          <w:sz w:val="22"/>
          <w:szCs w:val="22"/>
        </w:rPr>
        <w:t xml:space="preserve">At the middle of the path — who decides, and how is consent kept? </w:t>
      </w:r>
      <w:r>
        <w:rPr>
          <w:rFonts w:ascii="Calibri" w:cs="Calibri" w:eastAsia="Calibri" w:hAnsi="Calibri"/>
          <w:sz w:val="22"/>
          <w:szCs w:val="22"/>
        </w:rPr>
        <w:t xml:space="preserve">Consent is not a signature but a standing relationship. Who, within a landowning community, decides — and how is genuine consensus built and then maintained across clans and generations, rather than secured from a few leaders on a single day? And which outside actors — CEPA, provincial governments, NGOs, funders — can accept a genuinely supporting role rather than a directing one?</w:t>
      </w:r>
    </w:p>
    <w:p>
      <w:pPr>
        <w:spacing w:after="140" w:line="276"/>
        <w:jc w:val="both"/>
      </w:pPr>
      <w:r>
        <w:rPr>
          <w:rFonts w:ascii="Calibri" w:cs="Calibri" w:eastAsia="Calibri" w:hAnsi="Calibri"/>
          <w:b/>
          <w:bCs/>
          <w:sz w:val="22"/>
          <w:szCs w:val="22"/>
        </w:rPr>
        <w:t xml:space="preserve">At the end of the path — from a gazetted area to a managed one. </w:t>
      </w:r>
      <w:r>
        <w:rPr>
          <w:rFonts w:ascii="Calibri" w:cs="Calibri" w:eastAsia="Calibri" w:hAnsi="Calibri"/>
          <w:sz w:val="22"/>
          <w:szCs w:val="22"/>
        </w:rPr>
        <w:t xml:space="preserve">The record is unambiguous that Papua New Guinea is far better at establishing protected areas than at sustaining them (Leverington, Peterson and Peterson 2017). So one of the hardest questions is this: how does a community-owned area secure the funding, capacity, monitoring and local governance that turn a gazetted line into a place genuinely under management — and how is the opportunity cost of not logging met, reliably, across the decades that consent must last?</w:t>
      </w:r>
    </w:p>
    <w:p>
      <w:pPr>
        <w:spacing w:after="140" w:line="276"/>
        <w:jc w:val="both"/>
      </w:pPr>
      <w:r>
        <w:rPr>
          <w:rFonts w:ascii="Calibri" w:cs="Calibri" w:eastAsia="Calibri" w:hAnsi="Calibri"/>
          <w:b/>
          <w:bCs/>
          <w:sz w:val="22"/>
          <w:szCs w:val="22"/>
        </w:rPr>
        <w:t xml:space="preserve">Across the whole path — is this genuinely new, and can it scale? </w:t>
      </w:r>
      <w:r>
        <w:rPr>
          <w:rFonts w:ascii="Calibri" w:cs="Calibri" w:eastAsia="Calibri" w:hAnsi="Calibri"/>
          <w:sz w:val="22"/>
          <w:szCs w:val="22"/>
        </w:rPr>
        <w:t xml:space="preserve">Two questions hang over the entire pathway. Is it truly different from the ICAD transaction, or the same bargain in more respectful language — and what, concretely, makes consent-led conservation more durable than the development bargain it replaced? And could this path be walked not once but hundreds of times, across a customary-owned country, to approach the 30x30 target — or does reaching thirty per cent demand something the model does not yet have?</w:t>
      </w:r>
    </w:p>
    <w:p>
      <w:pPr>
        <w:spacing w:after="140" w:line="276"/>
        <w:jc w:val="both"/>
      </w:pPr>
      <w:r>
        <w:rPr>
          <w:rFonts w:ascii="Calibri" w:cs="Calibri" w:eastAsia="Calibri" w:hAnsi="Calibri"/>
          <w:b/>
          <w:bCs/>
          <w:sz w:val="22"/>
          <w:szCs w:val="22"/>
        </w:rPr>
        <w:t xml:space="preserve">And beyond the path — is there a fifth wave? </w:t>
      </w:r>
      <w:r>
        <w:rPr>
          <w:rFonts w:ascii="Calibri" w:cs="Calibri" w:eastAsia="Calibri" w:hAnsi="Calibri"/>
          <w:sz w:val="22"/>
          <w:szCs w:val="22"/>
        </w:rPr>
        <w:t xml:space="preserve">The four waves tell an unsettling story: the deliberate attempts — imposition, transaction, consent — have between them secured only a few per cent of the country and managed even less, while the forests that remain, remain largely because of the first wave that no one designed. Measured by outcome rather than intention, conservation by circumstance has been by far the most effective of all. That is not an argument for romanticising the past — the low population and subsistence economy that made it work are passing. It is an argument for looking hard at what of the first wave still survives, and whether it can be recognised and reinforced before it does. Much of Papua New Guinea is still, in practice, intact and lightly used, under customary systems that continue to function. The easy version of 30x30 — declaring the steep, remote land no one contests — produces only the “residual reserve” this history warns against. Melick and colleagues (2012) make the point academically: the pressure to hit spatial targets has itself proved counterproductive in Papua New Guinea, wasting scarce resources on “token protected areas” while much apparent protection “is likely due to… inaccessibility” — land counted as saved that was never truly at risk. You cannot, as they quote, “overcome poor quality with greater quantity”. The better question is whether the country’s genuinely functioning customary conservation can be described and formally recognised as what it already is — the conservation deed already gestures at this. The framework allows it: Target 3 counts not only protected areas but “other effective area-based conservation measures” and the conserved territories of indigenous peoples and local communities (IUCN 2023). A fifth wave might therefore be less an invention than a recognition — of the remaining potential of the first. Whether that recognition can be made rigorous, representative rather than residual, and — the hard test — bounded and governed enough to be funded and counted internationally, without extinguishing the very customary autonomy that makes it work, is the question this symposium is best placed to open.</w:t>
      </w:r>
    </w:p>
    <w:p>
      <w:pPr>
        <w:spacing w:after="140" w:line="276"/>
        <w:jc w:val="both"/>
      </w:pPr>
      <w:r>
        <w:rPr>
          <w:rFonts w:ascii="Calibri" w:cs="Calibri" w:eastAsia="Calibri" w:hAnsi="Calibri"/>
          <w:sz w:val="22"/>
          <w:szCs w:val="22"/>
        </w:rPr>
        <w:t xml:space="preserve">These are not rhetorical questions; they are the working agenda. Where the record does offer guidance it is consistent: the lessons drawn from a generation of PNG field projects come down to planning before choosing a site, investing for a decade rather than a project cycle, building trust first, tying conservation to the community’s own needs, working with rather than around government, and securing finance for the long term (Beehler and Kirkman 2013). The task of the days ahead is to turn these into priorities — what must change, who must act, and in what order — and to set that down in the communiqué. The history offers no formula, but it offers something more useful than optimism: a clear record, much of it Papua New Guinean and some of it from this very province, of what has been tried, what has failed, and what — slowly, and on the owners’ terms — has begun to work.</w:t>
      </w:r>
    </w:p>
    <w:p>
      <w:pPr>
        <w:pStyle w:val="Heading1"/>
        <w:spacing w:after="140" w:before="280"/>
      </w:pPr>
      <w:r>
        <w:rPr>
          <w:rFonts w:ascii="Calibri" w:cs="Calibri" w:eastAsia="Calibri" w:hAnsi="Calibri"/>
          <w:b/>
          <w:bCs/>
          <w:color w:val="1F5C2E"/>
          <w:sz w:val="30"/>
          <w:szCs w:val="30"/>
        </w:rPr>
        <w:t xml:space="preserve">8.  A closing thought: shared problems, Papua New Guinean solutions</w:t>
      </w:r>
    </w:p>
    <w:p>
      <w:pPr>
        <w:spacing w:after="140" w:line="276"/>
        <w:jc w:val="both"/>
      </w:pPr>
      <w:r>
        <w:rPr>
          <w:rFonts w:ascii="Calibri" w:cs="Calibri" w:eastAsia="Calibri" w:hAnsi="Calibri"/>
          <w:sz w:val="22"/>
          <w:szCs w:val="22"/>
        </w:rPr>
        <w:t xml:space="preserve">It would be easy to read this history as a catalogue of local failure. It is not. The difficulties that have dogged conservation in Papua New Guinea are, for the most part, the common afflictions of protected areas the world over: </w:t>
      </w:r>
      <w:r>
        <w:rPr>
          <w:rFonts w:ascii="Calibri" w:cs="Calibri" w:eastAsia="Calibri" w:hAnsi="Calibri"/>
          <w:b/>
          <w:bCs/>
          <w:sz w:val="22"/>
          <w:szCs w:val="22"/>
        </w:rPr>
        <w:t xml:space="preserve">areas that exist on paper but are barely managed; chronic underfunding and insecure recurrent finance; too few staff and too little capacity; weak monitoring of whether values are being kept; and management that cannot keep pace with the pressures of logging, mining and agricultural expansion</w:t>
      </w:r>
      <w:r>
        <w:rPr>
          <w:rFonts w:ascii="Calibri" w:cs="Calibri" w:eastAsia="Calibri" w:hAnsi="Calibri"/>
          <w:sz w:val="22"/>
          <w:szCs w:val="22"/>
        </w:rPr>
        <w:t xml:space="preserve">. Leverington and colleagues (2010) found major management deficiencies in around 40 per cent of the world’s protected areas — the “paper park” is a global species, not a Papua New Guinean one. The country is not failing at a task others have solved; it is grappling, in acute form, with a problem conservation has not cracked anywhere.</w:t>
      </w:r>
    </w:p>
    <w:p>
      <w:pPr>
        <w:spacing w:after="140" w:line="276"/>
        <w:jc w:val="both"/>
      </w:pPr>
      <w:r>
        <w:rPr>
          <w:rFonts w:ascii="Calibri" w:cs="Calibri" w:eastAsia="Calibri" w:hAnsi="Calibri"/>
          <w:sz w:val="22"/>
          <w:szCs w:val="22"/>
        </w:rPr>
        <w:t xml:space="preserve">That should motivate rather than discourage. Because no off-the-shelf international model fits a country whose land is 97 per cent customary, Papua New Guinea cannot import a solution — and is therefore free, and obliged, to design its own. An approach that genuinely works here — securing durable landowner consent, funding the ongoing </w:t>
      </w:r>
      <w:r>
        <w:rPr>
          <w:rFonts w:ascii="Calibri" w:cs="Calibri" w:eastAsia="Calibri" w:hAnsi="Calibri"/>
          <w:i/>
          <w:iCs/>
          <w:sz w:val="22"/>
          <w:szCs w:val="22"/>
        </w:rPr>
        <w:t xml:space="preserve">management</w:t>
      </w:r>
      <w:r>
        <w:rPr>
          <w:rFonts w:ascii="Calibri" w:cs="Calibri" w:eastAsia="Calibri" w:hAnsi="Calibri"/>
          <w:sz w:val="22"/>
          <w:szCs w:val="22"/>
        </w:rPr>
        <w:t xml:space="preserve"> of a protected area rather than the one-off </w:t>
      </w:r>
      <w:r>
        <w:rPr>
          <w:rFonts w:ascii="Calibri" w:cs="Calibri" w:eastAsia="Calibri" w:hAnsi="Calibri"/>
          <w:i/>
          <w:iCs/>
          <w:sz w:val="22"/>
          <w:szCs w:val="22"/>
        </w:rPr>
        <w:t xml:space="preserve">event</w:t>
      </w:r>
      <w:r>
        <w:rPr>
          <w:rFonts w:ascii="Calibri" w:cs="Calibri" w:eastAsia="Calibri" w:hAnsi="Calibri"/>
          <w:sz w:val="22"/>
          <w:szCs w:val="22"/>
        </w:rPr>
        <w:t xml:space="preserve"> of its gazettal, and rests conservation on the authority of the people who own the land — would not only resolve Papua New Guinea’s difficulty. It would speak to the problems that beset protected areas everywhere, most of which also depend, in the end, on the people who live alongside them. In rising to its own challenge, Papua New Guinea has the chance not to catch up with global practice, but to help lead it. That is the opportunity the days ahead are meant to open.</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Alcorn, J. B. and Beehler, B. M. (eds) (1993). </w:t>
      </w:r>
      <w:r>
        <w:rPr>
          <w:rFonts w:ascii="Calibri" w:cs="Calibri" w:eastAsia="Calibri" w:hAnsi="Calibri"/>
          <w:i/>
          <w:iCs/>
          <w:sz w:val="20"/>
          <w:szCs w:val="20"/>
        </w:rPr>
        <w:t xml:space="preserve">Papua New Guinea Conservation Needs Assessment</w:t>
      </w:r>
      <w:r>
        <w:rPr>
          <w:rFonts w:ascii="Calibri" w:cs="Calibri" w:eastAsia="Calibri" w:hAnsi="Calibri"/>
          <w:sz w:val="20"/>
          <w:szCs w:val="20"/>
        </w:rPr>
        <w:t xml:space="preserve"> (2 volumes). Washington, DC: Biodiversity Support Program.</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[Full publication details to be confirmed against the source at finalisation.]</w:t>
      </w:r>
    </w:p>
    <w:p>
      <w:pPr>
        <w:spacing w:after="100" w:line="264"/>
        <w:ind w:left="576" w:hanging="576"/>
      </w:pPr>
      <w:r>
        <w:rPr>
          <w:rFonts w:ascii="Calibri" w:cs="Calibri" w:eastAsia="Calibri" w:hAnsi="Calibri"/>
          <w:sz w:val="20"/>
          <w:szCs w:val="20"/>
        </w:rPr>
        <w:t xml:space="preserve">Beehler, B. M. and Kirkman, A. J. (eds) (2013). </w:t>
      </w:r>
      <w:r>
        <w:rPr>
          <w:rFonts w:ascii="Calibri" w:cs="Calibri" w:eastAsia="Calibri" w:hAnsi="Calibri"/>
          <w:i/>
          <w:iCs/>
          <w:sz w:val="20"/>
          <w:szCs w:val="20"/>
        </w:rPr>
        <w:t xml:space="preserve">Lessons Learned from the Field: Achieving Conservation Success in Papua New Guinea</w:t>
      </w:r>
      <w:r>
        <w:rPr>
          <w:rFonts w:ascii="Calibri" w:cs="Calibri" w:eastAsia="Calibri" w:hAnsi="Calibri"/>
          <w:sz w:val="20"/>
          <w:szCs w:val="20"/>
        </w:rPr>
        <w:t xml:space="preserve">. Arlington, VA: Conservation International.</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Chatterton, P., Yamuna, R., Higgins-Zogib, L., Mitchell, N., Hall, M., Sabi, J. and Jano, W. (2006). </w:t>
      </w:r>
      <w:r>
        <w:rPr>
          <w:rFonts w:ascii="Calibri" w:cs="Calibri" w:eastAsia="Calibri" w:hAnsi="Calibri"/>
          <w:i/>
          <w:iCs/>
          <w:sz w:val="20"/>
          <w:szCs w:val="20"/>
        </w:rPr>
        <w:t xml:space="preserve">An Assessment of the Effectiveness of Papua New Guinea’s Protected Areas Using WWF’s RAPPAM Methodology</w:t>
      </w:r>
      <w:r>
        <w:rPr>
          <w:rFonts w:ascii="Calibri" w:cs="Calibri" w:eastAsia="Calibri" w:hAnsi="Calibri"/>
          <w:sz w:val="20"/>
          <w:szCs w:val="20"/>
        </w:rPr>
        <w:t xml:space="preserve">. Port Moresby: Department of Environment and Conservation / PNG Forest Authority / Research and Conservation Foundation.</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Henning, B. M. (2015). ‘Market-based Conservation in Melanesia: Contrasting Expectations of Landowners and Conservationists.’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13(3): 299–310.</w:t>
      </w:r>
    </w:p>
    <w:p>
      <w:pPr>
        <w:spacing w:after="100" w:line="264"/>
        <w:ind w:left="576" w:hanging="576"/>
      </w:pPr>
      <w:r>
        <w:rPr>
          <w:rFonts w:ascii="Calibri" w:cs="Calibri" w:eastAsia="Calibri" w:hAnsi="Calibri"/>
          <w:sz w:val="20"/>
          <w:szCs w:val="20"/>
        </w:rPr>
        <w:t xml:space="preserve">Independent State of Papua New Guinea (2009). </w:t>
      </w:r>
      <w:r>
        <w:rPr>
          <w:rFonts w:ascii="Calibri" w:cs="Calibri" w:eastAsia="Calibri" w:hAnsi="Calibri"/>
          <w:i/>
          <w:iCs/>
          <w:sz w:val="20"/>
          <w:szCs w:val="20"/>
        </w:rPr>
        <w:t xml:space="preserve">Papua New Guinea Vision 2050</w:t>
      </w:r>
      <w:r>
        <w:rPr>
          <w:rFonts w:ascii="Calibri" w:cs="Calibri" w:eastAsia="Calibri" w:hAnsi="Calibri"/>
          <w:sz w:val="20"/>
          <w:szCs w:val="20"/>
        </w:rPr>
        <w:t xml:space="preserve">. Port Moresby: National Strategic Plan Taskforce.</w:t>
      </w:r>
    </w:p>
    <w:p>
      <w:pPr>
        <w:spacing w:after="100" w:line="264"/>
        <w:ind w:left="576" w:hanging="576"/>
      </w:pPr>
      <w:r>
        <w:rPr>
          <w:rFonts w:ascii="Calibri" w:cs="Calibri" w:eastAsia="Calibri" w:hAnsi="Calibri"/>
          <w:sz w:val="20"/>
          <w:szCs w:val="20"/>
        </w:rPr>
        <w:t xml:space="preserve">Independent State of Papua New Guinea (2014). </w:t>
      </w:r>
      <w:r>
        <w:rPr>
          <w:rFonts w:ascii="Calibri" w:cs="Calibri" w:eastAsia="Calibri" w:hAnsi="Calibri"/>
          <w:i/>
          <w:iCs/>
          <w:sz w:val="20"/>
          <w:szCs w:val="20"/>
        </w:rPr>
        <w:t xml:space="preserve">Papua New Guinea Policy on Protected Areas</w:t>
      </w:r>
      <w:r>
        <w:rPr>
          <w:rFonts w:ascii="Calibri" w:cs="Calibri" w:eastAsia="Calibri" w:hAnsi="Calibri"/>
          <w:sz w:val="20"/>
          <w:szCs w:val="20"/>
        </w:rPr>
        <w:t xml:space="preserve">. Port Moresby: Department of Environment and Conservation.</w:t>
      </w:r>
    </w:p>
    <w:p>
      <w:pPr>
        <w:spacing w:after="100" w:line="264"/>
        <w:ind w:left="576" w:hanging="576"/>
      </w:pPr>
      <w:r>
        <w:rPr>
          <w:rFonts w:ascii="Calibri" w:cs="Calibri" w:eastAsia="Calibri" w:hAnsi="Calibri"/>
          <w:sz w:val="20"/>
          <w:szCs w:val="20"/>
        </w:rPr>
        <w:t xml:space="preserve">Independent State of Papua New Guinea (2023). </w:t>
      </w:r>
      <w:r>
        <w:rPr>
          <w:rFonts w:ascii="Calibri" w:cs="Calibri" w:eastAsia="Calibri" w:hAnsi="Calibri"/>
          <w:i/>
          <w:iCs/>
          <w:sz w:val="20"/>
          <w:szCs w:val="20"/>
        </w:rPr>
        <w:t xml:space="preserve">Medium Term Development Plan IV 2023–2027: National Prosperity Through Growing the Economy</w:t>
      </w:r>
      <w:r>
        <w:rPr>
          <w:rFonts w:ascii="Calibri" w:cs="Calibri" w:eastAsia="Calibri" w:hAnsi="Calibri"/>
          <w:sz w:val="20"/>
          <w:szCs w:val="20"/>
        </w:rPr>
        <w:t xml:space="preserve">. Port Moresby: Department of National Planning and Monitoring.</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Leverington, F., Costa, K. L., Pavese, H., Lisle, A. and Hockings, M. (2010). ‘A Global Analysis of Protected Area Management Effectiveness.’ </w:t>
      </w:r>
      <w:r>
        <w:rPr>
          <w:rFonts w:ascii="Calibri" w:cs="Calibri" w:eastAsia="Calibri" w:hAnsi="Calibri"/>
          <w:i/>
          <w:iCs/>
          <w:sz w:val="20"/>
          <w:szCs w:val="20"/>
        </w:rPr>
        <w:t xml:space="preserve">Environmental Management</w:t>
      </w:r>
      <w:r>
        <w:rPr>
          <w:rFonts w:ascii="Calibri" w:cs="Calibri" w:eastAsia="Calibri" w:hAnsi="Calibri"/>
          <w:sz w:val="20"/>
          <w:szCs w:val="20"/>
        </w:rPr>
        <w:t xml:space="preserve"> 46(5): 685–698. DOI 10.1007/s00267-010-9564-5.</w:t>
      </w:r>
    </w:p>
    <w:p>
      <w:pPr>
        <w:spacing w:after="100" w:line="264"/>
        <w:ind w:left="576" w:hanging="576"/>
      </w:pPr>
      <w:r>
        <w:rPr>
          <w:rFonts w:ascii="Calibri" w:cs="Calibri" w:eastAsia="Calibri" w:hAnsi="Calibri"/>
          <w:sz w:val="20"/>
          <w:szCs w:val="20"/>
        </w:rPr>
        <w:t xml:space="preserve">Leverington, F., Peterson, A. and Peterson, G. (2017). </w:t>
      </w:r>
      <w:r>
        <w:rPr>
          <w:rFonts w:ascii="Calibri" w:cs="Calibri" w:eastAsia="Calibri" w:hAnsi="Calibri"/>
          <w:i/>
          <w:iCs/>
          <w:sz w:val="20"/>
          <w:szCs w:val="20"/>
        </w:rPr>
        <w:t xml:space="preserve">Assessment of Management Effectiveness for Papua New Guinea’s Protected Areas 2017. Final Report</w:t>
      </w:r>
      <w:r>
        <w:rPr>
          <w:rFonts w:ascii="Calibri" w:cs="Calibri" w:eastAsia="Calibri" w:hAnsi="Calibri"/>
          <w:sz w:val="20"/>
          <w:szCs w:val="20"/>
        </w:rPr>
        <w:t xml:space="preserve">. Apia: Secretariat of the Pacific Regional Environment Programme (SPREP).</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Melick, D. R., Kinch, J. P. and Govan, H. (2012). ‘How Global Biodiversity Targets Risk Becoming Counterproductive: The Case of Papua New Guinea.’ </w:t>
      </w:r>
      <w:r>
        <w:rPr>
          <w:rFonts w:ascii="Calibri" w:cs="Calibri" w:eastAsia="Calibri" w:hAnsi="Calibri"/>
          <w:i/>
          <w:iCs/>
          <w:sz w:val="20"/>
          <w:szCs w:val="20"/>
        </w:rPr>
        <w:t xml:space="preserve">Conservation &amp; Society</w:t>
      </w:r>
      <w:r>
        <w:rPr>
          <w:rFonts w:ascii="Calibri" w:cs="Calibri" w:eastAsia="Calibri" w:hAnsi="Calibri"/>
          <w:sz w:val="20"/>
          <w:szCs w:val="20"/>
        </w:rPr>
        <w:t xml:space="preserve"> 10(4): 344–353.</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Phillips, A. (2003). ‘Turning Ideas on Their Head: The New Paradigm for Protected Areas.’ </w:t>
      </w:r>
      <w:r>
        <w:rPr>
          <w:rFonts w:ascii="Calibri" w:cs="Calibri" w:eastAsia="Calibri" w:hAnsi="Calibri"/>
          <w:i/>
          <w:iCs/>
          <w:sz w:val="20"/>
          <w:szCs w:val="20"/>
        </w:rPr>
        <w:t xml:space="preserve">The George Wright Forum</w:t>
      </w:r>
      <w:r>
        <w:rPr>
          <w:rFonts w:ascii="Calibri" w:cs="Calibri" w:eastAsia="Calibri" w:hAnsi="Calibri"/>
          <w:sz w:val="20"/>
          <w:szCs w:val="20"/>
        </w:rPr>
        <w:t xml:space="preserve"> 20(2): 8–32.</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Zeriga, T. and Jimbudo, M. (2024). ‘Conservation Deeds by the People, for the People.’ </w:t>
      </w:r>
      <w:r>
        <w:rPr>
          <w:rFonts w:ascii="Calibri" w:cs="Calibri" w:eastAsia="Calibri" w:hAnsi="Calibri"/>
          <w:i/>
          <w:iCs/>
          <w:sz w:val="20"/>
          <w:szCs w:val="20"/>
        </w:rPr>
        <w:t xml:space="preserve">Langscape Magazine</w:t>
      </w:r>
      <w:r>
        <w:rPr>
          <w:rFonts w:ascii="Calibri" w:cs="Calibri" w:eastAsia="Calibri" w:hAnsi="Calibri"/>
          <w:sz w:val="20"/>
          <w:szCs w:val="20"/>
        </w:rPr>
        <w:t xml:space="preserve">, Vol. 13. Salt Spring Island: Terralingua.</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(v9)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a52a1a67507c812d775081ed25855166cf7c6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2026-08-06T10:57:42.815Z</dcterms:created>
  <dcterms:modified xsi:type="dcterms:W3CDTF">2026-08-06T10:57:42.815Z</dcterms:modified>
</cp:coreProperties>
</file>

<file path=docProps/custom.xml><?xml version="1.0" encoding="utf-8"?>
<Properties xmlns="http://schemas.openxmlformats.org/officeDocument/2006/custom-properties" xmlns:vt="http://schemas.openxmlformats.org/officeDocument/2006/docPropsVTypes"/>
</file>