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7).</w:t>
      </w:r>
    </w:p>
    <w:p>
      <w:pPr>
        <w:pBdr>
          <w:top w:val="single" w:color="1F5C2E" w:sz="6" w:space="10"/>
          <w:bottom w:val="single" w:color="1F5C2E" w:sz="6" w:space="10"/>
          <w:left w:val="single" w:color="1F5C2E" w:sz="6" w:space="10"/>
          <w:right w:val="single" w:color="1F5C2E" w:sz="6" w:space="10"/>
        </w:pBdr>
        <w:shd w:fill="F2F7F1" w:color="auto" w:val="clear"/>
        <w:spacing w:after="220" w:before="120"/>
      </w:pPr>
      <w:r>
        <w:rPr>
          <w:rFonts w:ascii="Calibri" w:cs="Calibri" w:eastAsia="Calibri" w:hAnsi="Calibri"/>
          <w:b/>
          <w:bCs/>
          <w:color w:val="1F5C2E"/>
          <w:sz w:val="20"/>
          <w:szCs w:val="20"/>
        </w:rPr>
        <w:t xml:space="preserve">Scope: terrestrial — and why the marine realm matters no less. </w:t>
      </w:r>
      <w:r>
        <w:rPr>
          <w:rFonts w:ascii="Calibri" w:cs="Calibri" w:eastAsia="Calibri" w:hAnsi="Calibri"/>
          <w:color w:val="333333"/>
          <w:sz w:val="20"/>
          <w:szCs w:val="20"/>
        </w:rPr>
        <w:t xml:space="preserve">This paper is about terrestrial conservation: the forests, rivers and customary land that make up the great bulk of Papua New Guinea’s protected estate and all of the cases discussed here. That focus is deliberate, and it is where the symposium’s two days should stay. It is not a judgement about importance. The country’s marine and coastal realm — its reefs, seagrass and mangroves, and the locally managed marine areas that are among Melanesia’s genuine conservation successes — is at least as significant, ecologically and economically, and rests on the same foundation of customary ownership and consent. It is a parallel story, with its own instruments, evidence and lessons, and it deserves a forum of its own rather than a subordinate mention in this one.</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 voluntary, legally-binding contracts by which clans place their own land off-limits to logging and mining without surrendering it into a state protected-area category — show landowners and Papua New Guinean organisations designing and holding conservation on their own terms. Zeriga and Jimbudo (2024) describe why clans increasingly prefer the deed to gazettal: the process is led by the community, the rules are made and policed locally — “more effective governance”, in their words —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 around a single flagship species —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 held up not by the communities but by the logging politics around them. Only Managalas began from land rights rather than a species, and even it matured over some thirty years. Wave Four is less a finished template than an evolving trajectory —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There is a harder candour still, and it goes to the centre of what this symposium must weigh. The consent model has now been pursued for the better part of two decades, and it has not yet delivered the shared conservation vision it takes for granted. The project’s own experience in the Managalas Conservation Area is instructive, and is offered here as evidence for the debate rather than as complaint: the clans genuinely consented — they refused logging, mining and oil palm across 214,696 hectares — but what they consented to was the protection of their customary land and the pursuit of development on their own terms, not a conservation programme as an outside agency would define one. Consent to keep the forest standing is not the same as agreement on why it should stand, or on what is being conserved and for whom; and where those visions are never reconciled, the agreement comes under strain as the years pass and the expected benefits are slow to arrive. This is not a Managalas problem. It is the structural risk of a model that can secure a decision without securing a shared purpose behind it.</w:t>
      </w:r>
    </w:p>
    <w:p>
      <w:pPr>
        <w:spacing w:after="140" w:line="276"/>
        <w:jc w:val="both"/>
      </w:pPr>
      <w:r>
        <w:rPr>
          <w:rFonts w:ascii="Calibri" w:cs="Calibri" w:eastAsia="Calibri" w:hAnsi="Calibri"/>
          <w:sz w:val="22"/>
          <w:szCs w:val="22"/>
        </w:rPr>
        <w:t xml:space="preserve">The recent spread of conservation deeds should be read in that light. A deed is, in truth, closer to recognition than to consent: it records and formalises a decision a community has already reached for its own reasons, rather than building a new agreement from a blank sheet. That is its strength, and also its limit. As presently constituted a deed does not, by itself, produce the durable, bounded and governed protected area that the 30x30 accounting — and the long-term funding that follows from it — currently require. The distance between a recognised local decision and a fundable protected area is not a detail; it is one of the central problems the symposium inherits, and it is where the question of a fifth wave, taken up below, begins.</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It repeals the earlier Conservation Areas Act 1978 and the Fauna (Protection and Control) Act rather than replacing them instrument for instrument, providing transitional and savings arrangements and a five-year window for existing protected areas to be brought onto the new Protected Area Network Register (Protected Areas Act 2024, Part IX). The gap it must close is stark. Formal protected-area coverage stood at about 2.8 per cent of the land in the mid-1990s (Sekhran 1996) and, on the most recent national figures, has crept only to around 4 per cent — some 61 areas, more than nine in ten of them Wildlife Management Areas (Melick et al. 2012) —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spacing w:after="140" w:line="276"/>
        <w:jc w:val="both"/>
      </w:pPr>
      <w:r>
        <w:rPr>
          <w:rFonts w:ascii="Calibri" w:cs="Calibri" w:eastAsia="Calibri" w:hAnsi="Calibri"/>
          <w:b/>
          <w:bCs/>
          <w:color w:val="AA0000"/>
          <w:sz w:val="22"/>
          <w:szCs w:val="22"/>
        </w:rPr>
        <w:t xml:space="preserve">[ Placeholder — to be completed by Lester Seri. </w:t>
      </w:r>
      <w:r>
        <w:rPr>
          <w:rFonts w:ascii="Calibri" w:cs="Calibri" w:eastAsia="Calibri" w:hAnsi="Calibri"/>
          <w:i/>
          <w:iCs/>
          <w:color w:val="AA0000"/>
          <w:sz w:val="22"/>
          <w:szCs w:val="22"/>
        </w:rPr>
        <w:t xml:space="preserve">A short account of the emerging national conservation-finance architecture — the Biodiversity and Climate Fund and the BIOFIN (Biodiversity Finance Initiative) process — and what a shift from project-by-project finance towards a national financing system would mean for customary landowners. Detail and sourcing to be supplied. ]</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 from the Fourth Goal of the Constitution, through Vision 2050, the Development Strategic Plan 2010–2030 and the National Biodiversity Strategy and Action Plan (NBSAP),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 a living from their land and the protection of it; as Melick and colleagues (2012) argue, resource-use decisions here are ultimately political, and any workable approach must be “holistic resource management that includes development”. The future turns on securing the two together — which is why the definition the symposium must settle, taken up next, cannot be one of nature protection alone.</w:t>
      </w:r>
    </w:p>
    <w:p>
      <w:pPr>
        <w:spacing w:after="140" w:line="276"/>
        <w:jc w:val="both"/>
      </w:pPr>
      <w:r>
        <w:rPr>
          <w:rFonts w:ascii="Calibri" w:cs="Calibri" w:eastAsia="Calibri" w:hAnsi="Calibri"/>
          <w:sz w:val="22"/>
          <w:szCs w:val="22"/>
        </w:rPr>
        <w:t xml:space="preserve">One consequence deserves to be stated plainly, because it inverts the usual order of business. This paper is not about funding, and it is deliberately not the place to design a financing mechanism. But it must name a misalignment that a decade of practice has exposed: conservation funding in Papua New Guinea has largely been built around a conservation purpose that communities were assumed to share and often did not. The money has been shaped to fit an agenda, and the agenda pressed onto communities — a square peg driven into a round hole. The sequence the country needs is the reverse. First cut the hole: agree what conservation is, and what the community actually wants, so that a shared purpose exists at all. Only then build the funding, purpose-made, to fit it. Everything that follows in this paper is about the first task — the shape of the hole — and leaves the funding, rightly, until there is something worth funding.</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 They fall in a deliberate order: first what is being conserved; then what its effective management requires; then what that costs; and only last how a livelihood flows back to the community that carries it. Purpose comes before method, and method before money. This paper does not attempt to answer the questions. It sets the scene, so that the answers — and, in time, perhaps a shared paper carrying them — belong to the symposium and not to its background reading.</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Forest structure —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 the IUCN’s protected-area definition now speaks of nature “with associated ecosystem services and cultural values”, and the new paradigm brings people in (Phillips 2003) —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 sustaining nature, community and social order together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A discipline for the discussion — the what before the how. </w:t>
      </w:r>
      <w:r>
        <w:rPr>
          <w:rFonts w:ascii="Calibri" w:cs="Calibri" w:eastAsia="Calibri" w:hAnsi="Calibri"/>
          <w:sz w:val="22"/>
          <w:szCs w:val="22"/>
        </w:rPr>
        <w:t xml:space="preserve">It will be tempting, once the talking starts, to reach for instruments — a gazettal, a Wildlife Management Area, a conservation deed, an OECM. These are genuinely different tools, and this paper will not pretend they are interchangeable; but neither will it choose among them here, because to do so would put the method before the matter. The instrument is the answer to a question that comes later: once it is clear what is to be conserved, and what the community wants, the appropriate tool is largely settled by that answer. Symposiums have a way of veering into method — into structures, mechanisms and money — before the purpose is agreed. The whole value of these two days rests on holding a razor-sharp focus on one thing: what, for conservation and for the community alike, are we actually trying to do?</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 delimited in space — and </w:t>
      </w:r>
      <w:r>
        <w:rPr>
          <w:rFonts w:ascii="Calibri" w:cs="Calibri" w:eastAsia="Calibri" w:hAnsi="Calibri"/>
          <w:i/>
          <w:iCs/>
          <w:sz w:val="22"/>
          <w:szCs w:val="22"/>
        </w:rPr>
        <w:t xml:space="preserve">governed</w:t>
      </w:r>
      <w:r>
        <w:rPr>
          <w:rFonts w:ascii="Calibri" w:cs="Calibri" w:eastAsia="Calibri" w:hAnsi="Calibri"/>
          <w:sz w:val="22"/>
          <w:szCs w:val="22"/>
        </w:rPr>
        <w:t xml:space="preserve"> —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 what is the work achieving? —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 capacious enough to be owned locally, yet bounded, governed, measured and lasting enough to be funded internationally — is among the questions the symposium must leave open.</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 This is the terrain of free, prior and informed consent (FPIC): a principle easier to name than to practise on customary land, and one the symposium should treat as integral to the pathway rather than assumed along it.</w:t>
      </w:r>
    </w:p>
    <w:p>
      <w:pPr>
        <w:spacing w:after="140" w:line="276"/>
        <w:jc w:val="both"/>
      </w:pPr>
      <w:r>
        <w:rPr>
          <w:rFonts w:ascii="Calibri" w:cs="Calibri" w:eastAsia="Calibri" w:hAnsi="Calibri"/>
          <w:b/>
          <w:bCs/>
          <w:sz w:val="22"/>
          <w:szCs w:val="22"/>
        </w:rPr>
        <w:t xml:space="preserve">Whose consent, and whose benefit? Equity and inclusion within the community. </w:t>
      </w:r>
      <w:r>
        <w:rPr>
          <w:rFonts w:ascii="Calibri" w:cs="Calibri" w:eastAsia="Calibri" w:hAnsi="Calibri"/>
          <w:sz w:val="22"/>
          <w:szCs w:val="22"/>
        </w:rPr>
        <w:t xml:space="preserve">“Community consent” can conceal as much as it reveals, because a community is not a single voice. Within it are women and men, elders and youth, larger clans and minority ones, those present and those away for work, and generations not yet able to speak for themselves. Consent obtained from a handful of senior men on a single day is not the consent of the whole; and benefits captured by the well-placed are not benefits shared. The questions here are practical and unavoidable. How are women, youth and minority clans given a real voice in the decision and a fair share of what flows from it? How is elite capture guarded against, and intra-community conflict worked through rather than papered over? And how is the consent of one generation kept legitimate for the next, whose land it equally will be — an intergenerational consent, not a one-off transaction? A conservation model that cannot answer these has not secured consent so much as a signature. Equity and social inclusion are not an add-on to the pathway; they are the test of whether the consent at its heart is real, and whether the benefits it promises reach the people in whose name it is made.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question is what management actually means here — its extent and its scope. What must a community-owned area do, and be seen to do, for its conservation to count as active rather than nominal: what monitoring, what rule-making and enforcement, what upkeep of boundaries, what local governance and reporting? The answer matters twice over. It is the difference between a gazetted line and a place genuinely under management; and it is also what makes conservation legible enough to be funded, because no funder will pay for management that cannot be described, shown and verified. Defining that scope — thick enough to be effective, light enough to be afforded — is one of the harder tasks the symposium faces.</w:t>
      </w:r>
    </w:p>
    <w:p>
      <w:pPr>
        <w:spacing w:after="140" w:line="276"/>
        <w:jc w:val="both"/>
      </w:pPr>
      <w:r>
        <w:rPr>
          <w:rFonts w:ascii="Calibri" w:cs="Calibri" w:eastAsia="Calibri" w:hAnsi="Calibri"/>
          <w:b/>
          <w:bCs/>
          <w:sz w:val="22"/>
          <w:szCs w:val="22"/>
        </w:rPr>
        <w:t xml:space="preserve">And then the cost — and the living it must leave behind. </w:t>
      </w:r>
      <w:r>
        <w:rPr>
          <w:rFonts w:ascii="Calibri" w:cs="Calibri" w:eastAsia="Calibri" w:hAnsi="Calibri"/>
          <w:sz w:val="22"/>
          <w:szCs w:val="22"/>
        </w:rPr>
        <w:t xml:space="preserve">Only once it is clear what is to be conserved, and what managing it requires, can money be discussed in the right order: first what effective management costs, and then how a livelihood — an income — reaches the community that carries it. Two disciplines matter here. The payment cannot be payment for nothing. A landowner who forgoes logging has given up a real income, and that opportunity cost must be honestly met; but meeting it by paying people simply to leave the forest alone breeds the dependency and passivity that helped undo the ICAD bargains. The durable form is payment structured around activities and deliverables that can be identified, done and paid for — the work of monitoring, mapping and upkeep, and the building of real livelihoods from the standing forest — so that the money buys conservation and builds an economy at the same time. The distinction the symposium should hold on to is between compensation, which pays for a loss, and livelihood, which builds something that lasts; between renting a community’s restraint and investing in its future.</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 And if it can be repeated, can it be repeated more cheaply — does the unit cost fall as the approach is learned and the systems are built once and reused? Probably it does, but only so far: the expensive, unhurried part is the consent itself, and each community needs its own way, and its own time, to reach a decision that cannot be rushed without breaking it.</w:t>
      </w:r>
    </w:p>
    <w:p>
      <w:pPr>
        <w:spacing w:after="140" w:line="276"/>
        <w:jc w:val="both"/>
      </w:pPr>
      <w:r>
        <w:rPr>
          <w:rFonts w:ascii="Calibri" w:cs="Calibri" w:eastAsia="Calibri" w:hAnsi="Calibri"/>
          <w:b/>
          <w:bCs/>
          <w:sz w:val="22"/>
          <w:szCs w:val="22"/>
        </w:rPr>
        <w:t xml:space="preserve">Over a changing climate —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 the protected areas, the customary landscapes, the pathway itself —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 is there a fifth wave? </w:t>
      </w:r>
      <w:r>
        <w:rPr>
          <w:rFonts w:ascii="Calibri" w:cs="Calibri" w:eastAsia="Calibri" w:hAnsi="Calibri"/>
          <w:sz w:val="22"/>
          <w:szCs w:val="22"/>
        </w:rPr>
        <w:t xml:space="preserve">The four waves tell an unsettling story: the deliberate attempts — imposition, transaction, consent —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 declaring the steep, remote land no one contests —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 land counted as saved that was never truly at risk. You cannot, as they quote, “overcome poor quality with greater quantity”. The better question is whether the country’s genuinely functioning customary conservation can be described and formally recognised as what it already is — the conservation deed already gestures at this. The framework allows it: Target 3 counts not only protected areas but “other effective area-based conservation measures” and the conserved territories of indigenous peoples and local communities (IUCN 2023). A fifth wave might therefore be less an invention than a recognition — of the remaining potential of the first. Whether that recognition can be made rigorous, representative rather than residual, and — the hard test —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A potential fifth wave. The four deliberate waves are joined by a possible fifth —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Independent State of Papua New Guinea. </w:t>
      </w:r>
      <w:r>
        <w:rPr>
          <w:rFonts w:ascii="Calibri" w:cs="Calibri" w:eastAsia="Calibri" w:hAnsi="Calibri"/>
          <w:i/>
          <w:iCs/>
          <w:sz w:val="20"/>
          <w:szCs w:val="20"/>
        </w:rPr>
        <w:t xml:space="preserve">National Biodiversity Strategy and Action Plan (NBSAP)</w:t>
      </w:r>
      <w:r>
        <w:rPr>
          <w:rFonts w:ascii="Calibri" w:cs="Calibri" w:eastAsia="Calibri" w:hAnsi="Calibri"/>
          <w:sz w:val="20"/>
          <w:szCs w:val="20"/>
        </w:rPr>
        <w:t xml:space="preserve">. Port Moresby: Conservation and Environment Protection Authority. (Edition and dates to be confirmed at finalisation.)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(v11)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2026-08-18T04:00:55.309Z</dcterms:created>
  <dcterms:modified xsi:type="dcterms:W3CDTF">2026-08-18T04:00:55.325Z</dcterms:modified>
</cp:coreProperties>
</file>

<file path=docProps/custom.xml><?xml version="1.0" encoding="utf-8"?>
<Properties xmlns="http://schemas.openxmlformats.org/officeDocument/2006/custom-properties" xmlns:vt="http://schemas.openxmlformats.org/officeDocument/2006/docPropsVTypes"/>
</file>