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spacing w:after="120" w:before="120"/>
      </w:pPr>
      <w:r>
        <w:rPr>
          <w:rFonts w:ascii="Calibri" w:cs="Calibri" w:eastAsia="Calibri" w:hAnsi="Calibri"/>
          <w:b/>
          <w:bCs/>
          <w:color w:val="1F5C2E"/>
          <w:sz w:val="30"/>
          <w:szCs w:val="30"/>
        </w:rPr>
        <w:t xml:space="preserve">Contents</w:t>
      </w:r>
    </w:p>
    <w:p>
      <w:pPr>
        <w:spacing w:after="200"/>
      </w:pPr>
      <w:r>
        <w:rPr>
          <w:rFonts w:ascii="Calibri" w:cs="Calibri" w:eastAsia="Calibri" w:hAnsi="Calibri"/>
          <w:i/>
          <w:iCs/>
          <w:color w:val="888888"/>
          <w:sz w:val="16"/>
          <w:szCs w:val="16"/>
        </w:rPr>
        <w:t xml:space="preserve">To build page numbers, open in Word and choose Update Field (right-click the table, or References ▸ Update Table).</w:t>
      </w:r>
    </w:p>
    <w:p>
      <w:r>
        <w:fldChar w:fldCharType="begin" w:dirty="true"/>
        <w:instrText xml:space="preserve">TOC \h \o "1-2"</w:instrText>
        <w:fldChar w:fldCharType="separate"/>
      </w:r>
    </w:p>
    <w:p>
      <w:r>
        <w:fldChar w:fldCharType="end"/>
      </w:r>
    </w:p>
    <w:p>
      <w:r>
        <w:br w:type="page"/>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This is Target 3, the commitment now widely known as 30x30 (IUCN 2023). For a state that owns almost none of its own land, it is not a target that can be met by drawing new lines on a map. It requires the willing and informed consent of hundreds of thousands of customary owners, sustained over time.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a country whose land belongs to its people rather than its state. The waves carried different theories of how nature might be protected. The first held that protection happened as a by-product of how people already lived; the second, that it could be imposed by the state; the third, that it could be purchased through development; the fourth, and most recent, that it might be built on consent. They are not tidy successive eras. Each left sediment that the next built upon or around, and elements of all four are visible in the field today. Read this way, Papua New Guinea’s experience is a local instance of a global shift, from the exclusionary “fortress” model, through community-based development, towards a rights-based paradigm that puts local people first (Phillips 2003; Mace 2014), refracted at every turn through the fact of customary ownership. The purpose here is not to settle the argument but to be candid about past successes and failures, so that the symposium can turn to the harder question of how to move forward,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including the locally managed marine areas among Melanesia’s real successes,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in a definition that a community, a practitioner and a donor would each recognise as the same thing. That absence is not an oversight but a live problem, and settling it is, this paper will argue, the first task the symposium must take up (Section 7).</w:t>
      </w:r>
    </w:p>
    <w:p>
      <w:pPr>
        <w:pBdr>
          <w:top w:val="single" w:color="1F5C2E" w:sz="6" w:space="10"/>
          <w:left w:val="single" w:color="1F5C2E" w:sz="6" w:space="10"/>
          <w:bottom w:val="single" w:color="1F5C2E" w:sz="6" w:space="10"/>
          <w:right w:val="single" w:color="1F5C2E" w:sz="6" w:space="10"/>
        </w:pBdr>
        <w:shd w:fill="F2F7F1" w:color="auto" w:val="clear"/>
        <w:spacing w:after="220" w:before="120"/>
      </w:pPr>
      <w:r>
        <w:rPr>
          <w:rFonts w:ascii="Calibri" w:cs="Calibri" w:eastAsia="Calibri" w:hAnsi="Calibri"/>
          <w:b/>
          <w:bCs/>
          <w:color w:val="1F5C2E"/>
          <w:sz w:val="20"/>
          <w:szCs w:val="20"/>
        </w:rPr>
        <w:t xml:space="preserve">Scope: terrestrial, and why the marine realm matters no less. </w:t>
      </w:r>
      <w:r>
        <w:rPr>
          <w:rFonts w:ascii="Calibri" w:cs="Calibri" w:eastAsia="Calibri" w:hAnsi="Calibri"/>
          <w:color w:val="333333"/>
          <w:sz w:val="20"/>
          <w:szCs w:val="20"/>
        </w:rPr>
        <w:t xml:space="preserve">This paper is about terrestrial conservation: the forests, rivers and customary land that make up the great bulk of Papua New Guinea’s protected estate and all of the cases discussed here. That focus is deliberate, and it is where the symposium’s two days should stay. It is not a judgement about importance. The country’s marine and coastal realm, its reefs, seagrass and mangroves, and the locally managed marine areas that are among Melanesia’s genuine conservation successes, is at least as significant, ecologically and economically, and rests on the same foundation of customary ownership and consent. It is a parallel story, with its own instruments, evidence and lessons, and it deserves a forum of its own rather than a subordinate mention in this one.</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including the demographic weight of warfare,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(small populations, no cash economy, enforced territorial limits)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treating ‘traditional’ society as a conservation model waiting to be switched back on,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(about 2.8 per cent of the land area)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and unfunded once declared,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a line secured and a declaration signed,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the Oro Butterfly Project, Lak, Bismarck–Ramu, Crater Mountain, Kamiali, Kikori Basin and the Hunstein Range among them. Enough have now run their course that their record can be read honestly, and it is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conservation beginning from a map rather than from the people who owned the place,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w:t>
      </w:r>
      <w:r>
        <w:rPr>
          <w:rFonts w:ascii="Calibri" w:cs="Calibri" w:eastAsia="Calibri" w:hAnsi="Calibri"/>
          <w:i/>
          <w:iCs/>
          <w:sz w:val="22"/>
          <w:szCs w:val="22"/>
        </w:rPr>
        <w:t xml:space="preserve">Pursuing the ‘D’</w:t>
      </w:r>
      <w:r>
        <w:rPr>
          <w:rFonts w:ascii="Calibri" w:cs="Calibri" w:eastAsia="Calibri" w:hAnsi="Calibri"/>
          <w:sz w:val="22"/>
          <w:szCs w:val="22"/>
        </w:rPr>
        <w:t xml:space="preserve">,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the world’s largest butterfly, found only in Oro Province and carried on the provincial flag, in its natural habitat on the Popondetta Plains and the Managalas Plateau. This is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4.2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a community sustainable-forestry enterprise,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that a development inducement cannot compete with logging already under way, and that consent must be built before a project is designed rather than purchased after,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4.3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4.4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a source of goods, while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which places it in the wave described next, not this one. The distinction is temporal as well as legal: the Oro Conservation Project of the 1990s did not itself gazette anything; Managalas was gazetted only in 2017, two decades later,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and it is being carried, increasingly, by Papua New Guinean institutions rather than foreign projects. In practice it begins with an act of communication: telling communities, broadly and without steering, that conservation is an option they may choose for their own land,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the Tree Kangaroo Conservation Program, embedded in the community over many years. Its architects are candid that the country still has “few proven models”, and that field projects are best understood as “working experiments” rather than finished templates (Beehler and Kirkman 2013).</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offered here as both the largest expression of consent-led conservation and, as the next paragraphs make plain, the clearest illustration of its central risk.</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now spreading among Papua New Guinean landowners, voluntary, legally-binding contracts by which clans place their own land off-limits to logging and mining without surrendering it into a state protected-area category, show landowners and Papua New Guinean organisations designing and holding conservation on their own terms. Zeriga and Jimbudo (2024) describe why clans increasingly prefer the deed to gazettal: the process is led by the community; the rules are made and policed locally, which they call “more effective governance”; the contract is written “in a language that the community can understand”; and the mapping it requires validates clan boundaries in the bargain. It began with Wanang in Madang in 2000, where eleven clans banded together to refuse logging; such areas are now forming, on their reckoning, at about 1.5 a year. The deed’s honest limit is the one a funder would press: the approach is, as they say, “yet to be documented and evaluated”.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is worth being candid about how these cases arise, because none is the clean archetype the label “Wave Four” implies. Most began </w:t>
      </w:r>
      <w:r>
        <w:rPr>
          <w:rFonts w:ascii="Calibri" w:cs="Calibri" w:eastAsia="Calibri" w:hAnsi="Calibri"/>
          <w:i/>
          <w:iCs/>
          <w:sz w:val="22"/>
          <w:szCs w:val="22"/>
        </w:rPr>
        <w:t xml:space="preserve">targeted</w:t>
      </w:r>
      <w:r>
        <w:rPr>
          <w:rFonts w:ascii="Calibri" w:cs="Calibri" w:eastAsia="Calibri" w:hAnsi="Calibri"/>
          <w:sz w:val="22"/>
          <w:szCs w:val="22"/>
        </w:rPr>
        <w:t xml:space="preserve">, around a single flagship species, and broadened only later. YUS and the Torricelli programme both grew from tree kangaroos (the Tenkile that gives the Tenkile Conservation Alliance its name); the Oro Butterfly began with the Queen Alexandra’s Birdwing. Torricelli is instructive twice over: some fifty villages and thirteen thousand landowners have consented to a conservation area of roughly 1,250 square kilometres, yet the proposal, first lodged in 2008, remains ungazetted, held up not by the communities but by the logging politics around them. Only Managalas began from land rights rather than a species, and even it matured over some thirty years. Wave Four is less a finished template than an evolving trajectory, which is why the recognition question, below, is the sharper one.</w:t>
      </w:r>
    </w:p>
    <w:p>
      <w:pPr>
        <w:spacing w:after="140" w:line="276"/>
        <w:jc w:val="both"/>
      </w:pPr>
      <w:r>
        <w:rPr>
          <w:rFonts w:ascii="Calibri" w:cs="Calibri" w:eastAsia="Calibri" w:hAnsi="Calibri"/>
          <w:sz w:val="22"/>
          <w:szCs w:val="22"/>
        </w:rPr>
        <w:t xml:space="preserve">It would be premature to call these successes. YUS and Managalas are young, gazetted in 2009 and 2017,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 a hypothesis this symposium is convened to test, not a finding to be reported.</w:t>
      </w:r>
    </w:p>
    <w:p>
      <w:pPr>
        <w:spacing w:after="140" w:line="276"/>
        <w:jc w:val="both"/>
      </w:pPr>
      <w:r>
        <w:rPr>
          <w:rFonts w:ascii="Calibri" w:cs="Calibri" w:eastAsia="Calibri" w:hAnsi="Calibri"/>
          <w:sz w:val="22"/>
          <w:szCs w:val="22"/>
        </w:rPr>
        <w:t xml:space="preserve">There is a harder candour still, and it goes to the centre of what this symposium must weigh. The consent model has now been pursued for the better part of two decades, and it has not yet delivered the shared conservation vision it takes for granted. The project’s own experience in the Managalas Conservation Area is instructive, and is offered here as evidence for the debate rather than as complaint: the clans genuinely consented, refusing logging, mining and oil palm across 214,696 hectares, but what they consented to was the protection of their customary land and the pursuit of development on their own terms, not a conservation programme as an outside agency would define one. Consent to keep the forest standing is not the same as agreement on why it should stand, or on what is being conserved and for whom; and where those visions are never reconciled, the agreement comes under strain as the years pass and the expected benefits are slow to arrive. This is not a Managalas problem. It is the structural risk of a model that can secure a decision without securing a shared purpose behind it.</w:t>
      </w:r>
    </w:p>
    <w:p>
      <w:pPr>
        <w:spacing w:after="140" w:line="276"/>
        <w:jc w:val="both"/>
      </w:pPr>
      <w:r>
        <w:rPr>
          <w:rFonts w:ascii="Calibri" w:cs="Calibri" w:eastAsia="Calibri" w:hAnsi="Calibri"/>
          <w:sz w:val="22"/>
          <w:szCs w:val="22"/>
        </w:rPr>
        <w:t xml:space="preserve">The recent spread of conservation deeds should be read in that light. A deed is, in truth, closer to recognition than to consent: it records and formalises a decision a community has already reached for its own reasons, rather than building a new agreement from a blank sheet. That is its strength, and also its limit. As presently constituted a deed does not, by itself, produce the durable, bounded and governed protected area that the 30x30 accounting, and the long-term funding that follows from it, currently require. The distance between a recognised local decision and a fundable protected area is not a detail; it is one of the central problems the symposium inherits, and it is where the question of a fifth wave, taken up below, begins.</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five pillars for a national system,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It repeals the earlier Conservation Areas Act 1978 and the Fauna (Protection and Control) Act rather than replacing them instrument for instrument, providing transitional and savings arrangements and a five-year window for existing protected areas to be brought onto the new Protected Area Network Register (Protected Areas Act 2024, Part IX). The gap it must close is stark. Formal protected-area coverage stood at about 2.8 per cent of the land in the mid-1990s (Sekhran 1996) and, on the most recent national figures, has crept only to around 4 per cent, some 61 areas, more than nine in ten of them Wildlife Management Areas (Melick et al. 2012), well short of the 30 per cent that Target 3 envisages for 2030. And that is merely designated area; the share under genuinely effective management is far smaller, put by Zeriga and Jimbudo (2024) at under 1 per cent. </w:t>
      </w:r>
      <w:r>
        <w:rPr>
          <w:rFonts w:ascii="Calibri" w:cs="Calibri" w:eastAsia="Calibri" w:hAnsi="Calibri"/>
          <w:sz w:val="22"/>
          <w:szCs w:val="22"/>
        </w:rPr>
        <w:t xml:space="preserve"> The distance between a few effective per cent and thirty is not an incidental shortfall to be made up with a few more gazettals. On land that is 97 per cent customary, it is a structural challenge that can only be met one act of consent at a time.</w:t>
      </w:r>
    </w:p>
    <w:p>
      <w:pPr>
        <w:spacing w:after="40" w:before="160"/>
        <w:jc w:val="center"/>
      </w:pPr>
      <w:r>
        <w:drawing>
          <wp:inline distT="0" distB="0" distL="0" distR="0">
            <wp:extent cx="5669280" cy="3401568"/>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401568"/>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2. </w:t>
      </w:r>
      <w:r>
        <w:rPr>
          <w:rFonts w:ascii="Calibri" w:cs="Calibri" w:eastAsia="Calibri" w:hAnsi="Calibri"/>
          <w:i/>
          <w:iCs/>
          <w:color w:val="444444"/>
          <w:sz w:val="18"/>
          <w:szCs w:val="18"/>
        </w:rPr>
        <w:t xml:space="preserve">Protected areas gazetted in Papua New Guinea, 1962–2024 (cumulative), from the Protected Areas Act 2024 register, set against the waves of conservation. Most of the estate was gazetted during the imposition and ICAD eras; the consent era has added only a few. The register records only areas actually gazetted, not the many that were proposed, consented or brought close to gazettal but never declared, so the real effort under each wave was greater.</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Leverington, Peterson and Peterson (2017), applying a locally adapted tracking tool (the PNG-METT) to the country’s 57 gazetted protected areas,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forest loss inside many Wildlife Management Areas has run no lower than outside them (Melick et al. 2012).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difficulty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the difference between consent bought once and consent kept.</w:t>
      </w:r>
    </w:p>
    <w:p>
      <w:pPr>
        <w:spacing w:after="140" w:line="276"/>
        <w:jc w:val="both"/>
      </w:pPr>
      <w:r>
        <w:rPr>
          <w:rFonts w:ascii="Calibri" w:cs="Calibri" w:eastAsia="Calibri" w:hAnsi="Calibri"/>
          <w:b/>
          <w:bCs/>
          <w:color w:val="AA0000"/>
          <w:sz w:val="22"/>
          <w:szCs w:val="22"/>
        </w:rPr>
        <w:t xml:space="preserve">[ Placeholder — to be completed by Lester Seri. </w:t>
      </w:r>
      <w:r>
        <w:rPr>
          <w:rFonts w:ascii="Calibri" w:cs="Calibri" w:eastAsia="Calibri" w:hAnsi="Calibri"/>
          <w:i/>
          <w:iCs/>
          <w:color w:val="AA0000"/>
          <w:sz w:val="22"/>
          <w:szCs w:val="22"/>
        </w:rPr>
        <w:t xml:space="preserve">A short account of the emerging national conservation-finance architecture — the Biodiversity and Climate Fund and the BIOFIN (Biodiversity Finance Initiative) process — and what a shift from project-by-project finance towards a national financing system would mean for customary landowners. Detail and sourcing to be supplied. ]</w:t>
      </w:r>
    </w:p>
    <w:p>
      <w:pPr>
        <w:spacing w:before="200" w:after="60"/>
        <w:jc w:val="center"/>
      </w:pPr>
      <w:r>
        <w:rPr>
          <w:rFonts w:ascii="Calibri" w:cs="Calibri" w:eastAsia="Calibri" w:hAnsi="Calibri"/>
          <w:b/>
          <w:bCs/>
          <w:color w:val="444444"/>
          <w:sz w:val="18"/>
          <w:szCs w:val="18"/>
        </w:rPr>
        <w:t xml:space="preserve">Table 1. </w:t>
      </w:r>
      <w:r>
        <w:rPr>
          <w:rFonts w:ascii="Calibri" w:cs="Calibri" w:eastAsia="Calibri" w:hAnsi="Calibri"/>
          <w:i/>
          <w:iCs/>
          <w:color w:val="444444"/>
          <w:sz w:val="18"/>
          <w:szCs w:val="18"/>
        </w:rPr>
        <w:t xml:space="preserve">The waves of conservation in Papua New Guinea: tools and outcomes. The fifth row is left open deliberately — its tools and expected outcomes are for the symposium to agree.</w:t>
      </w:r>
    </w:p>
    <w:p>
      <w:pPr>
        <w:spacing w:after="20" w:line="240"/>
      </w:pPr>
      <w:r>
        <w:rPr>
          <w:rFonts w:ascii="Calibri" w:cs="Calibri" w:eastAsia="Calibri" w:hAnsi="Calibri"/>
          <w:b/>
          <w:bCs/>
          <w:sz w:val="18"/>
          <w:szCs w:val="18"/>
        </w:rPr>
        <w:t xml:space="preserve">Wave</w:t>
      </w:r>
    </w:p>
    <w:p>
      <w:pPr>
        <w:spacing w:after="20" w:line="240"/>
      </w:pPr>
      <w:r>
        <w:rPr>
          <w:rFonts w:ascii="Calibri" w:cs="Calibri" w:eastAsia="Calibri" w:hAnsi="Calibri"/>
          <w:b/>
          <w:bCs/>
          <w:sz w:val="18"/>
          <w:szCs w:val="18"/>
        </w:rPr>
        <w:t xml:space="preserve">Theory / starting point</w:t>
      </w:r>
    </w:p>
    <w:p>
      <w:pPr>
        <w:spacing w:after="20" w:line="240"/>
      </w:pPr>
      <w:r>
        <w:rPr>
          <w:rFonts w:ascii="Calibri" w:cs="Calibri" w:eastAsia="Calibri" w:hAnsi="Calibri"/>
          <w:b/>
          <w:bCs/>
          <w:sz w:val="18"/>
          <w:szCs w:val="18"/>
        </w:rPr>
        <w:t xml:space="preserve">Main tools &amp; instruments</w:t>
      </w:r>
    </w:p>
    <w:p>
      <w:pPr>
        <w:spacing w:after="20" w:line="240"/>
      </w:pPr>
      <w:r>
        <w:rPr>
          <w:rFonts w:ascii="Calibri" w:cs="Calibri" w:eastAsia="Calibri" w:hAnsi="Calibri"/>
          <w:b/>
          <w:bCs/>
          <w:sz w:val="18"/>
          <w:szCs w:val="18"/>
        </w:rPr>
        <w:t xml:space="preserve">Outcomes</w:t>
      </w:r>
    </w:p>
    <w:p>
      <w:pPr>
        <w:spacing w:after="20" w:line="240"/>
      </w:pPr>
      <w:r>
        <w:rPr>
          <w:rFonts w:ascii="Calibri" w:cs="Calibri" w:eastAsia="Calibri" w:hAnsi="Calibri"/>
          <w:b/>
          <w:bCs/>
          <w:sz w:val="18"/>
          <w:szCs w:val="18"/>
        </w:rPr>
        <w:t xml:space="preserve">1 — Circumstance</w:t>
      </w:r>
    </w:p>
    <w:p>
      <w:pPr>
        <w:spacing w:after="20" w:line="240"/>
      </w:pPr>
      <w:r>
        <w:rPr>
          <w:rFonts w:ascii="Calibri" w:cs="Calibri" w:eastAsia="Calibri" w:hAnsi="Calibri"/>
          <w:sz w:val="18"/>
          <w:szCs w:val="18"/>
        </w:rPr>
        <w:t xml:space="preserve">Protection as a by-product of how people lived</w:t>
      </w:r>
    </w:p>
    <w:p>
      <w:pPr>
        <w:spacing w:after="20" w:line="240"/>
      </w:pPr>
      <w:r>
        <w:rPr>
          <w:rFonts w:ascii="Calibri" w:cs="Calibri" w:eastAsia="Calibri" w:hAnsi="Calibri"/>
          <w:sz w:val="18"/>
          <w:szCs w:val="18"/>
        </w:rPr>
        <w:t xml:space="preserve">None deliberate: customary practice (sacred groves, taboos, fallows), low population, subsistence economy, territorial limits</w:t>
      </w:r>
    </w:p>
    <w:p>
      <w:pPr>
        <w:spacing w:after="20" w:line="240"/>
      </w:pPr>
      <w:r>
        <w:rPr>
          <w:rFonts w:ascii="Calibri" w:cs="Calibri" w:eastAsia="Calibri" w:hAnsi="Calibri"/>
          <w:sz w:val="18"/>
          <w:szCs w:val="18"/>
        </w:rPr>
        <w:t xml:space="preserve">Extensive intact forest persisted — most of what still stands — but as a by-product, not an achieved outcome</w:t>
      </w:r>
    </w:p>
    <w:p>
      <w:pPr>
        <w:spacing w:after="20" w:line="240"/>
      </w:pPr>
      <w:r>
        <w:rPr>
          <w:rFonts w:ascii="Calibri" w:cs="Calibri" w:eastAsia="Calibri" w:hAnsi="Calibri"/>
          <w:b/>
          <w:bCs/>
          <w:sz w:val="18"/>
          <w:szCs w:val="18"/>
        </w:rPr>
        <w:t xml:space="preserve">2 — Imposition (1970s–90s)</w:t>
      </w:r>
    </w:p>
    <w:p>
      <w:pPr>
        <w:spacing w:after="20" w:line="240"/>
      </w:pPr>
      <w:r>
        <w:rPr>
          <w:rFonts w:ascii="Calibri" w:cs="Calibri" w:eastAsia="Calibri" w:hAnsi="Calibri"/>
          <w:sz w:val="18"/>
          <w:szCs w:val="18"/>
        </w:rPr>
        <w:t xml:space="preserve">The state sets land aside and manages it</w:t>
      </w:r>
    </w:p>
    <w:p>
      <w:pPr>
        <w:spacing w:after="20" w:line="240"/>
      </w:pPr>
      <w:r>
        <w:rPr>
          <w:rFonts w:ascii="Calibri" w:cs="Calibri" w:eastAsia="Calibri" w:hAnsi="Calibri"/>
          <w:sz w:val="18"/>
          <w:szCs w:val="18"/>
        </w:rPr>
        <w:t xml:space="preserve">National parks and reserves; Wildlife Management Areas (Fauna (Protection and Control) Act); 1975 Constitution, Fourth Goal</w:t>
      </w:r>
    </w:p>
    <w:p>
      <w:pPr>
        <w:spacing w:after="20" w:line="240"/>
      </w:pPr>
      <w:r>
        <w:rPr>
          <w:rFonts w:ascii="Calibri" w:cs="Calibri" w:eastAsia="Calibri" w:hAnsi="Calibri"/>
          <w:sz w:val="18"/>
          <w:szCs w:val="18"/>
        </w:rPr>
        <w:t xml:space="preserve">~2.8% designated by the mid-1990s, mostly too small; ~89% with no or minimal management (1999); “paper parks” — but the WMA established the community-tenure principle</w:t>
      </w:r>
    </w:p>
    <w:p>
      <w:pPr>
        <w:spacing w:after="20" w:line="240"/>
      </w:pPr>
      <w:r>
        <w:rPr>
          <w:rFonts w:ascii="Calibri" w:cs="Calibri" w:eastAsia="Calibri" w:hAnsi="Calibri"/>
          <w:b/>
          <w:bCs/>
          <w:sz w:val="18"/>
          <w:szCs w:val="18"/>
        </w:rPr>
        <w:t xml:space="preserve">3 — Transaction (ICAD, 1986–2010s)</w:t>
      </w:r>
    </w:p>
    <w:p>
      <w:pPr>
        <w:spacing w:after="20" w:line="240"/>
      </w:pPr>
      <w:r>
        <w:rPr>
          <w:rFonts w:ascii="Calibri" w:cs="Calibri" w:eastAsia="Calibri" w:hAnsi="Calibri"/>
          <w:sz w:val="18"/>
          <w:szCs w:val="18"/>
        </w:rPr>
        <w:t xml:space="preserve">Development exchanged for conservation</w:t>
      </w:r>
    </w:p>
    <w:p>
      <w:pPr>
        <w:spacing w:after="20" w:line="240"/>
      </w:pPr>
      <w:r>
        <w:rPr>
          <w:rFonts w:ascii="Calibri" w:cs="Calibri" w:eastAsia="Calibri" w:hAnsi="Calibri"/>
          <w:sz w:val="18"/>
          <w:szCs w:val="18"/>
        </w:rPr>
        <w:t xml:space="preserve">ICAD/ICDP projects; development inducements; Conservation Needs Assessment site selection; UNDP–GEF funding</w:t>
      </w:r>
    </w:p>
    <w:p>
      <w:pPr>
        <w:spacing w:after="20" w:line="240"/>
      </w:pPr>
      <w:r>
        <w:rPr>
          <w:rFonts w:ascii="Calibri" w:cs="Calibri" w:eastAsia="Calibri" w:hAnsi="Calibri"/>
          <w:sz w:val="18"/>
          <w:szCs w:val="18"/>
        </w:rPr>
        <w:t xml:space="preserve">Few durable protected areas; cargo expectations; could not out-compete logging. Legacy: the Bismarck Ramu Group, a documented body of lessons, and partial local gains</w:t>
      </w:r>
    </w:p>
    <w:p>
      <w:pPr>
        <w:spacing w:after="20" w:line="240"/>
      </w:pPr>
      <w:r>
        <w:rPr>
          <w:rFonts w:ascii="Calibri" w:cs="Calibri" w:eastAsia="Calibri" w:hAnsi="Calibri"/>
          <w:b/>
          <w:bCs/>
          <w:sz w:val="18"/>
          <w:szCs w:val="18"/>
        </w:rPr>
        <w:t xml:space="preserve">4 — Consent (2009–present)</w:t>
      </w:r>
    </w:p>
    <w:p>
      <w:pPr>
        <w:spacing w:after="20" w:line="240"/>
      </w:pPr>
      <w:r>
        <w:rPr>
          <w:rFonts w:ascii="Calibri" w:cs="Calibri" w:eastAsia="Calibri" w:hAnsi="Calibri"/>
          <w:sz w:val="18"/>
          <w:szCs w:val="18"/>
        </w:rPr>
        <w:t xml:space="preserve">Consent is the foundation, built first</w:t>
      </w:r>
    </w:p>
    <w:p>
      <w:pPr>
        <w:spacing w:after="20" w:line="240"/>
      </w:pPr>
      <w:r>
        <w:rPr>
          <w:rFonts w:ascii="Calibri" w:cs="Calibri" w:eastAsia="Calibri" w:hAnsi="Calibri"/>
          <w:sz w:val="18"/>
          <w:szCs w:val="18"/>
        </w:rPr>
        <w:t xml:space="preserve">Conservation Areas Act 1978 gazettal (YUS, Managalas); conservation deeds; FPIC; 2014 PA Policy; Protected Areas Act 2024; payment for ecosystem services</w:t>
      </w:r>
    </w:p>
    <w:p>
      <w:pPr>
        <w:spacing w:after="20" w:line="240"/>
      </w:pPr>
      <w:r>
        <w:rPr>
          <w:rFonts w:ascii="Calibri" w:cs="Calibri" w:eastAsia="Calibri" w:hAnsi="Calibri"/>
          <w:sz w:val="18"/>
          <w:szCs w:val="18"/>
        </w:rPr>
        <w:t xml:space="preserve">First gazetted Conservation Areas (YUS 2009; Managalas 2017, 214,696 ha). Coverage ~4%, under ~1% effectively managed; consent secured but the shared vision not yet delivered</w:t>
      </w:r>
    </w:p>
    <w:p>
      <w:pPr>
        <w:spacing w:after="20" w:line="240"/>
      </w:pPr>
      <w:r>
        <w:rPr>
          <w:rFonts w:ascii="Calibri" w:cs="Calibri" w:eastAsia="Calibri" w:hAnsi="Calibri"/>
          <w:b/>
          <w:bCs/>
          <w:i/>
          <w:iCs/>
          <w:sz w:val="18"/>
          <w:szCs w:val="18"/>
        </w:rPr>
        <w:t xml:space="preserve">5 — Recognition? (proposed)</w:t>
      </w:r>
    </w:p>
    <w:p>
      <w:pPr>
        <w:spacing w:after="20" w:line="240"/>
      </w:pPr>
      <w:r>
        <w:rPr>
          <w:rFonts w:ascii="Calibri" w:cs="Calibri" w:eastAsia="Calibri" w:hAnsi="Calibri"/>
          <w:i/>
          <w:iCs/>
          <w:sz w:val="18"/>
          <w:szCs w:val="18"/>
        </w:rPr>
        <w:t xml:space="preserve">Recognising what the first wave still holds</w:t>
      </w:r>
    </w:p>
    <w:p>
      <w:pPr>
        <w:spacing w:after="20" w:line="240"/>
      </w:pPr>
      <w:r>
        <w:rPr>
          <w:rFonts w:ascii="Calibri" w:cs="Calibri" w:eastAsia="Calibri" w:hAnsi="Calibri"/>
          <w:i/>
          <w:iCs/>
          <w:sz w:val="18"/>
          <w:szCs w:val="18"/>
        </w:rPr>
        <w:t xml:space="preserve">To be defined by the symposium — candidate tools: OECMs, participatory mapping, recognised community-conserved areas, and private-sector and sub-national instruments</w:t>
      </w:r>
    </w:p>
    <w:p>
      <w:pPr>
        <w:spacing w:after="20" w:line="240"/>
      </w:pPr>
      <w:r>
        <w:rPr>
          <w:rFonts w:ascii="Calibri" w:cs="Calibri" w:eastAsia="Calibri" w:hAnsi="Calibri"/>
          <w:i/>
          <w:iCs/>
          <w:sz w:val="18"/>
          <w:szCs w:val="18"/>
        </w:rPr>
        <w:t xml:space="preserve">To be defined by the symposium</w:t>
      </w:r>
    </w:p>
    <w:p>
      <w:pPr>
        <w:spacing w:after="120"/>
      </w:pPr>
    </w:p>
    <w:p>
      <w:pPr>
        <w:spacing w:after="40" w:before="160"/>
        <w:jc w:val="center"/>
      </w:pPr>
      <w:r>
        <w:drawing>
          <wp:inline distT="0" distB="0" distL="0" distR="0">
            <wp:extent cx="5669280" cy="3401568"/>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401568"/>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3. </w:t>
      </w:r>
      <w:r>
        <w:rPr>
          <w:rFonts w:ascii="Calibri" w:cs="Calibri" w:eastAsia="Calibri" w:hAnsi="Calibri"/>
          <w:i/>
          <w:iCs/>
          <w:color w:val="444444"/>
          <w:sz w:val="18"/>
          <w:szCs w:val="18"/>
        </w:rPr>
        <w:t xml:space="preserve">How much forest does Papua New Guinea have? Competing national estimates, set against the waves. Shearman et al. (2009) mapped a decline from 38 to 33 million ha, 1972–2002; the PNG Forest Authority puts it at ~36 million ha and broadly stable. The sources disagree on both level and trend — on the most measurable fact of all, there is no consensus.</w:t>
      </w:r>
    </w:p>
    <w:p>
      <w:pPr>
        <w:spacing w:after="140" w:line="276"/>
        <w:jc w:val="both"/>
      </w:pPr>
      <w:r>
        <w:rPr>
          <w:rFonts w:ascii="Calibri" w:cs="Calibri" w:eastAsia="Calibri" w:hAnsi="Calibri"/>
          <w:sz w:val="22"/>
          <w:szCs w:val="22"/>
        </w:rPr>
        <w:t xml:space="preserve">Notice what that disagreement means. The most measurable fact about the country’s environment — how much forest it has, and whether that is shrinking — has no agreed answer; two credible sources give two different pictures. If even the easiest, most countable question cannot yet be settled, it is a plain warning about the harder ones this paper now turns to: what conservation is, what 30x30 should mean here, and who decides. Data matters, and better data would help. But it matters less than what is actually on the ground, the forests that still stand and the people who hold them, and it is to that ground, and to who is responsible for what upon it, that we now turn.</w:t>
      </w: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from the Fourth Goal of the Constitution, through Vision 2050, the Development Strategic Plan 2010–2030 and the National Biodiversity Strategy and Action Plan 2019–2024, which records the country’s own target of placing five per cent of its land under protected areas, a target it has not met, and which is now being revised for 2025–2030 to align with the Kunming–Montreal framework (its national targets not yet published at the time of writing),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a living from their land and the protection of it; as Melick and colleagues (2012) argue, resource-use decisions here are ultimately political, and any workable approach must be “holistic resource management that includes development”. The future turns on securing the two together, which is why the definition the symposium must settle, taken up next, cannot be one of nature protection alone.</w:t>
      </w:r>
    </w:p>
    <w:p>
      <w:pPr>
        <w:spacing w:after="140" w:line="276"/>
        <w:jc w:val="both"/>
      </w:pPr>
      <w:r>
        <w:rPr>
          <w:rFonts w:ascii="Calibri" w:cs="Calibri" w:eastAsia="Calibri" w:hAnsi="Calibri"/>
          <w:sz w:val="22"/>
          <w:szCs w:val="22"/>
        </w:rPr>
        <w:t xml:space="preserve">One consequence deserves to be stated plainly, because it inverts the usual order of business, and because it is where this paper parts company with how conservation has been attempted before. Begin by naming the hole, for every wave so far has failed partly by not doing so. Each assumed it knew the problem, and each solved the problem it assumed: the second wave drew the protected area, the third delivered the development incentive, the fourth secured the consent. Each still fell short, because the real need was never stated. The hole these efforts are meant to fill is not conservation. It is the enduring wellbeing of the customary community: a good life lived on and from their own land, a dependable livelihood, health, schooling, secure rights, social order, the continuation of culture, and a healthy environment to hold it all together. Conservation is one part of that, no more.</w:t>
      </w:r>
    </w:p>
    <w:p>
      <w:pPr>
        <w:spacing w:after="140" w:line="276"/>
        <w:jc w:val="both"/>
      </w:pPr>
      <w:r>
        <w:rPr>
          <w:rFonts w:ascii="Calibri" w:cs="Calibri" w:eastAsia="Calibri" w:hAnsi="Calibri"/>
          <w:sz w:val="22"/>
          <w:szCs w:val="22"/>
        </w:rPr>
        <w:t xml:space="preserve">Name the hole this way and the old failure comes into focus as a failure of expectation. The square peg was conservation made to carry the whole of it: a thing defined, and funded, as an outside donor would understand it, pressed onto communities whose own understanding of it, and whose capacity to deliver it in those terms, were different. A promise the size of the whole hole can only be broken, and it is broken in the way that matters most, not on a ledger but in the eyes of the community, where a shortfall against an oversized promise is felt as betrayal even when something real was delivered. Consent runs on that perception, not on an audit. The first virtue of what follows is therefore not more delivery but honest expectation: each part promising only what it can keep, and the gaps named at the outset rather than discovered at the end.</w:t>
      </w:r>
    </w:p>
    <w:p>
      <w:pPr>
        <w:spacing w:after="140" w:line="276"/>
        <w:jc w:val="both"/>
      </w:pPr>
      <w:r>
        <w:rPr>
          <w:rFonts w:ascii="Calibri" w:cs="Calibri" w:eastAsia="Calibri" w:hAnsi="Calibri"/>
          <w:sz w:val="22"/>
          <w:szCs w:val="22"/>
        </w:rPr>
        <w:t xml:space="preserve">The way through is to stop asking conservation to be the only peg, and to set it among others, each with a named owner. Conservation, defined narrowly enough to be deliverable, is one peg, held by the landowners and the practitioners who support them, and increasingly by the private sector and by provincial and local-level government where their own lands and laws allow. Infrastructure and basic services are another, and they belong to government, through the national and provincial development budgets, not to conservation. A living from the land is a third, shared among the community, the private sector and development partners. The security of customary rights and boundaries is a fourth. Knowledge of what the land is, and what it could become, is the one part the conservation effort genuinely owns and must supply. Between these pegs there will still be gaps, aspirations no one can meet, chief among them the forms of growth that require clearing the very forest the arrangement exists to keep; naming those gaps plainly, as the agreed limit of what is on offer, holds better than a promise that one peg covers everything.</w:t>
      </w:r>
    </w:p>
    <w:p>
      <w:pPr>
        <w:spacing w:after="140" w:line="276"/>
        <w:jc w:val="both"/>
      </w:pPr>
      <w:r>
        <w:rPr>
          <w:rFonts w:ascii="Calibri" w:cs="Calibri" w:eastAsia="Calibri" w:hAnsi="Calibri"/>
          <w:sz w:val="22"/>
          <w:szCs w:val="22"/>
        </w:rPr>
        <w:t xml:space="preserve">Some of the most important pegs are not on the land at all. Conservation of a customary landscape does not succeed in isolation from the country around it; it depends on a thriving economy beyond the boundary. Investment in manufacturing and services, the creation of formal jobs, genuine urban development rather than the spread of settlements, home ownership, careers a young person can build: these are nation-building outcomes, the business of the national government, the private sector and development partners, not of any conservation project. Their contribution is quieter but no less vital, for they offer an alternative. Rural smallholder life is honourable and full of meaning, but it is not the only life, and it is not for everyone. An economy that can draw those who wish to leave into formal employment eases the pressure a growing population would otherwise place on the forest, and leaves those who remain on the land doing so by choice rather than necessity. A thriving economy outside the conservation boundaries is not a distraction from conservation; it is one of the conditions of its success.</w:t>
      </w:r>
    </w:p>
    <w:p>
      <w:pPr>
        <w:spacing w:after="140" w:line="276"/>
        <w:jc w:val="both"/>
      </w:pPr>
      <w:r>
        <w:rPr>
          <w:rFonts w:ascii="Calibri" w:cs="Calibri" w:eastAsia="Calibri" w:hAnsi="Calibri"/>
          <w:sz w:val="22"/>
          <w:szCs w:val="22"/>
        </w:rPr>
        <w:t xml:space="preserve">Unbundling the task this way does not make the problem vanish; it changes its shape, and leaves two kinds of gap. The first lie between the pegs, where they must meet: conservation in place but the road not built, rights recognised but no livelihood to follow. These are not inevitable. They are a coordination problem, and they are where the whole arrangement breaks down if no one holds it together; who coordinates the alliance, and how, is one of the real questions this symposium exists to answer. The second kind sits at the edges: aspirations no peg can meet, because nobody is ever wholly satisfied. These are irreducible, and the mature course is to name and accept them, not to pretend they are closed. One thing more follows, and it is what makes the arrangement durable: a shortfall is now attributable. When a peg fails it can be seen which owner fell short, or where the coordination broke, and that can be put right, rather than the whole structure, and the community’s consent with it, collapsing onto conservation. Failure becomes diagnosable instead of fatal. Only once the shape of the hole and the division of the pegs are agreed does the money question arise, and then in its proper place: the funding is sought, or designed, to fit a conservation that can actually be delivered, never the other way about.</w:t>
      </w:r>
    </w:p>
    <w:p>
      <w:pPr>
        <w:spacing w:after="40" w:before="160"/>
        <w:jc w:val="center"/>
      </w:pPr>
      <w:r>
        <w:drawing>
          <wp:inline distT="0" distB="0" distL="0" distR="0">
            <wp:extent cx="5669280" cy="3207619"/>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207619"/>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4. </w:t>
      </w:r>
      <w:r>
        <w:rPr>
          <w:rFonts w:ascii="Calibri" w:cs="Calibri" w:eastAsia="Calibri" w:hAnsi="Calibri"/>
          <w:i/>
          <w:iCs/>
          <w:color w:val="444444"/>
          <w:sz w:val="18"/>
          <w:szCs w:val="18"/>
        </w:rPr>
        <w:t xml:space="preserve">Conservation is one peg, not the whole hole. The old way loads every aspiration onto conservation, which fits nothing and is blamed for the rest; the unbundled way fills the hole of community wellbeing with several pegs, each with an accountable owner, with the coordination between them and the honest residual gaps both named.</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a receptive community, then consensus, then a protected area under local management, because that pathway is the model this symposium is really convened to test. Each step along it raises a practical question, and one question underlies them all. They fall in a deliberate order: first what is being conserved; then what its effective management requires; then what that costs; and only last how a livelihood flows back to the community that carries it. Purpose comes before method, and method before money. This paper does not attempt to answer the questions. It sets the scene, so that the answers (and, in time, perhaps a shared paper carrying them) belong to the symposium and not to its background reading.</w:t>
      </w:r>
    </w:p>
    <w:p>
      <w:pPr>
        <w:spacing w:after="140" w:line="276"/>
        <w:jc w:val="both"/>
      </w:pPr>
      <w:r>
        <w:rPr>
          <w:rFonts w:ascii="Calibri" w:cs="Calibri" w:eastAsia="Calibri" w:hAnsi="Calibri"/>
          <w:b/>
          <w:bCs/>
          <w:sz w:val="22"/>
          <w:szCs w:val="22"/>
        </w:rPr>
        <w:t xml:space="preserve">Before a definition, a prior question: what is being conserved? </w:t>
      </w:r>
      <w:r>
        <w:rPr>
          <w:rFonts w:ascii="Calibri" w:cs="Calibri" w:eastAsia="Calibri" w:hAnsi="Calibri"/>
          <w:sz w:val="22"/>
          <w:szCs w:val="22"/>
        </w:rPr>
        <w:t xml:space="preserve">The candidates are not the same thing. Is it forest structure, the standing trees? The biodiversity within them? The carbon they hold? Or the things the forest carries for its owners: their livelihoods, their culture, their language, the traditions and knowledge bound to particular places, the people themselves? International practice has widened its answer over time; the IUCN’s protected-area definition now speaks of nature “with associated ecosystem services and cultural values”, and the new paradigm brings people in (Phillips 2003); yet it still insists that conservation be the primary objective of a protected area, which, as Melick and colleagues (2012) observe, “raises obvious questions as to whether the IUCN notion of protected areas is at all relevant for Melanesia”, where people and land are inseparable. Zeriga and Jimbudo (2024) put the difference from the inside: where the West seeks to conserve “the inherent value of nature”, the Indigenous concern is “to perpetuate the aspects of nature that are useful for survival”, and most Papua New Guineans, still living from the forest, “see conservation as protecting forest resources from overexploitation”. An audience should be walked to a definition, target by target, not simply handed one.</w:t>
      </w:r>
    </w:p>
    <w:p>
      <w:pPr>
        <w:spacing w:after="140" w:line="276"/>
        <w:jc w:val="both"/>
      </w:pPr>
      <w:r>
        <w:rPr>
          <w:rFonts w:ascii="Calibri" w:cs="Calibri" w:eastAsia="Calibri" w:hAnsi="Calibri"/>
          <w:b/>
          <w:bCs/>
          <w:sz w:val="22"/>
          <w:szCs w:val="22"/>
        </w:rPr>
        <w:t xml:space="preserve">So,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a definition a community, a practitioner and a donor would each recognise and accept. Arriving at it is, this paper argues, the first task of the symposium. As a starting point for that discussion, and no more than a starting point, offered for the symposium to amend or reject, the paper suggests this: </w:t>
      </w:r>
      <w:r>
        <w:rPr>
          <w:rFonts w:ascii="Calibri" w:cs="Calibri" w:eastAsia="Calibri" w:hAnsi="Calibri"/>
          <w:b/>
          <w:bCs/>
          <w:i/>
          <w:iCs/>
          <w:sz w:val="22"/>
          <w:szCs w:val="22"/>
        </w:rPr>
        <w:t xml:space="preserve">conservation in Papua New Guinea is an enduring, community-managed landscape — forest, grassland, mangrove or reef — kept healthy by the people who hold it, through management recognisably their own, in which those communities can thrive.</w:t>
      </w:r>
      <w:r>
        <w:rPr>
          <w:rFonts w:ascii="Calibri" w:cs="Calibri" w:eastAsia="Calibri" w:hAnsi="Calibri"/>
          <w:sz w:val="22"/>
          <w:szCs w:val="22"/>
        </w:rPr>
        <w:t xml:space="preserve"> The word enduring is chosen so the landscape may last and adapt, not freeze; the people who hold it because conservation that is not owned does not hold; kept healthy because the test is the state of the land, not the drawing of a line around it; and in which communities can thrive as a condition the whole alliance must meet, not a task conservation performs alone. The definition is written for all of Papua New Guinea’s landscapes and seascapes, so it need not be re-argued for the sea, though this paper develops the terrestrial case. Whether that is the right wording, or even the right idea, is exactly what the participants must decide.</w:t>
      </w:r>
    </w:p>
    <w:p>
      <w:pPr>
        <w:spacing w:after="140" w:line="276"/>
        <w:jc w:val="both"/>
      </w:pPr>
      <w:r>
        <w:rPr>
          <w:rFonts w:ascii="Calibri" w:cs="Calibri" w:eastAsia="Calibri" w:hAnsi="Calibri"/>
          <w:b/>
          <w:bCs/>
          <w:sz w:val="22"/>
          <w:szCs w:val="22"/>
        </w:rPr>
        <w:t xml:space="preserve">What, then, counts as management “recognisably their own”? </w:t>
      </w:r>
      <w:r>
        <w:rPr>
          <w:rFonts w:ascii="Calibri" w:cs="Calibri" w:eastAsia="Calibri" w:hAnsi="Calibri"/>
          <w:sz w:val="22"/>
          <w:szCs w:val="22"/>
        </w:rPr>
        <w:t xml:space="preserve">Rather than importing a checklist, the symposium might agree a short set of minimum descriptors of effective management, expressed in customary terms: known boundaries, where the community agrees where its landscape begins and ends and the clan boundaries within it are mapped and respected; rules that are owned and kept, with clan land-use rules set, understood and enforced locally; wise and lasting use, so resources are used in ways that can continue indefinitely while still providing a living; knowledge, shared and current, so the community can say what is in the landscape and how it is changing; tradition and tool together, respecting customary practice while adopting appropriate technology to strengthen it; and adaptive care, so management responds to change, slow and sudden alike, rather than assuming the landscape will stay as it is. These are what make effectiveness checkable and owner-legible at once, the rigorous core that the global accounting asks for and that the previous waves never defined. Both the definition and the descriptors are offered here as discussion points, not conclusions: they are for the symposium to settle.</w:t>
      </w:r>
    </w:p>
    <w:p>
      <w:pPr>
        <w:spacing w:after="140" w:line="276"/>
        <w:jc w:val="both"/>
      </w:pPr>
      <w:r>
        <w:rPr>
          <w:rFonts w:ascii="Calibri" w:cs="Calibri" w:eastAsia="Calibri" w:hAnsi="Calibri"/>
          <w:b/>
          <w:bCs/>
          <w:sz w:val="22"/>
          <w:szCs w:val="22"/>
        </w:rPr>
        <w:t xml:space="preserve">A discipline for the discussion: the what before the how. </w:t>
      </w:r>
      <w:r>
        <w:rPr>
          <w:rFonts w:ascii="Calibri" w:cs="Calibri" w:eastAsia="Calibri" w:hAnsi="Calibri"/>
          <w:sz w:val="22"/>
          <w:szCs w:val="22"/>
        </w:rPr>
        <w:t xml:space="preserve">It will be tempting, once the talking starts, to reach for instruments: a gazettal, a Wildlife Management Area, a conservation deed, an OECM. These are genuinely different tools, and this paper will not pretend they are interchangeable; but neither will it choose among them here, because to do so would put the method before the matter. The instrument is the answer to a question that comes later: once it is clear what is to be conserved, and what the community wants, the appropriate tool is largely settled by that answer. Symposiums have a way of veering into method, into structures, mechanisms and money, before the purpose is agreed. The whole value of these two days rests on holding a razor-sharp focus on one thing: what, for conservation and for the community alike, are we actually trying to do?</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(delimited in space) and </w:t>
      </w:r>
      <w:r>
        <w:rPr>
          <w:rFonts w:ascii="Calibri" w:cs="Calibri" w:eastAsia="Calibri" w:hAnsi="Calibri"/>
          <w:i/>
          <w:iCs/>
          <w:sz w:val="22"/>
          <w:szCs w:val="22"/>
        </w:rPr>
        <w:t xml:space="preserve">governed</w:t>
      </w:r>
      <w:r>
        <w:rPr>
          <w:rFonts w:ascii="Calibri" w:cs="Calibri" w:eastAsia="Calibri" w:hAnsi="Calibri"/>
          <w:sz w:val="22"/>
          <w:szCs w:val="22"/>
        </w:rPr>
        <w:t xml:space="preserve"> (under a credible, accountable authority). They also, reasonably, want it to deliver </w:t>
      </w:r>
      <w:r>
        <w:rPr>
          <w:rFonts w:ascii="Calibri" w:cs="Calibri" w:eastAsia="Calibri" w:hAnsi="Calibri"/>
          <w:i/>
          <w:iCs/>
          <w:sz w:val="22"/>
          <w:szCs w:val="22"/>
        </w:rPr>
        <w:t xml:space="preserve">measured, reported outcomes</w:t>
      </w:r>
      <w:r>
        <w:rPr>
          <w:rFonts w:ascii="Calibri" w:cs="Calibri" w:eastAsia="Calibri" w:hAnsi="Calibri"/>
          <w:sz w:val="22"/>
          <w:szCs w:val="22"/>
        </w:rPr>
        <w:t xml:space="preserve"> (what is the work achieving?); to be </w:t>
      </w:r>
      <w:r>
        <w:rPr>
          <w:rFonts w:ascii="Calibri" w:cs="Calibri" w:eastAsia="Calibri" w:hAnsi="Calibri"/>
          <w:i/>
          <w:iCs/>
          <w:sz w:val="22"/>
          <w:szCs w:val="22"/>
        </w:rPr>
        <w:t xml:space="preserve">lasting</w:t>
      </w:r>
      <w:r>
        <w:rPr>
          <w:rFonts w:ascii="Calibri" w:cs="Calibri" w:eastAsia="Calibri" w:hAnsi="Calibri"/>
          <w:sz w:val="22"/>
          <w:szCs w:val="22"/>
        </w:rPr>
        <w:t xml:space="preserve">, since work that merely monitors a decline is not conservation; to be </w:t>
      </w:r>
      <w:r>
        <w:rPr>
          <w:rFonts w:ascii="Calibri" w:cs="Calibri" w:eastAsia="Calibri" w:hAnsi="Calibri"/>
          <w:i/>
          <w:iCs/>
          <w:sz w:val="22"/>
          <w:szCs w:val="22"/>
        </w:rPr>
        <w:t xml:space="preserve">active and additional</w:t>
      </w:r>
      <w:r>
        <w:rPr>
          <w:rFonts w:ascii="Calibri" w:cs="Calibri" w:eastAsia="Calibri" w:hAnsi="Calibri"/>
          <w:sz w:val="22"/>
          <w:szCs w:val="22"/>
        </w:rPr>
        <w:t xml:space="preserve">, producing a result that would not have happened anyway rather than the mere absence of disturbance; and to be </w:t>
      </w:r>
      <w:r>
        <w:rPr>
          <w:rFonts w:ascii="Calibri" w:cs="Calibri" w:eastAsia="Calibri" w:hAnsi="Calibri"/>
          <w:i/>
          <w:iCs/>
          <w:sz w:val="22"/>
          <w:szCs w:val="22"/>
        </w:rPr>
        <w:t xml:space="preserve">cost-effective</w:t>
      </w:r>
      <w:r>
        <w:rPr>
          <w:rFonts w:ascii="Calibri" w:cs="Calibri" w:eastAsia="Calibri" w:hAnsi="Calibri"/>
          <w:sz w:val="22"/>
          <w:szCs w:val="22"/>
        </w:rPr>
        <w:t xml:space="preserve">, because money that disappears into meetings and administrative structure buys no measurable conservation, and donors know it. Yet the market logic beneath these demands carries its own danger. Henning (2015) shows that direct payments in Melanesia falter when treated as market exchange between self-interested strangers, because landowners understand them as reciprocal obligations within a lasting relationship; to reduce the goals of conservation, as she puts it, to “those of self-interested, cost-benefit rationality” is to misread the ground it stands on. How to hold the two together, capacious enough to be owned locally yet bounded, governed, measured and lasting enough to be funded internationally, is among the questions the symposium must leave open.</w:t>
      </w:r>
    </w:p>
    <w:p>
      <w:pPr>
        <w:spacing w:after="140" w:line="276"/>
        <w:jc w:val="both"/>
      </w:pPr>
      <w:r>
        <w:rPr>
          <w:rFonts w:ascii="Calibri" w:cs="Calibri" w:eastAsia="Calibri" w:hAnsi="Calibri"/>
          <w:b/>
          <w:bCs/>
          <w:sz w:val="22"/>
          <w:szCs w:val="22"/>
        </w:rPr>
        <w:t xml:space="preserve">At the start of the path: how do communities learn this is an option at all? </w:t>
      </w:r>
      <w:r>
        <w:rPr>
          <w:rFonts w:ascii="Calibri" w:cs="Calibri" w:eastAsia="Calibri" w:hAnsi="Calibri"/>
          <w:sz w:val="22"/>
          <w:szCs w:val="22"/>
        </w:rPr>
        <w:t xml:space="preserve">Wave Four begins not with a chosen site but with a receptive community, and a community cannot choose an option it does not understand. The first practical question is therefore one of communication in two directions. How do conservation practitioners get the message out, broadly and without steering, that conservation is an option available to landowners, something they may choose for their own land, on their own terms? And when a community becomes interested, how does it then approach government, NGOs and funders to register that interest and ask to hear more: is there a ‘front door’ to walk through, and who keeps it open?</w:t>
      </w:r>
    </w:p>
    <w:p>
      <w:pPr>
        <w:spacing w:after="140" w:line="276"/>
        <w:jc w:val="both"/>
      </w:pPr>
      <w:r>
        <w:rPr>
          <w:rFonts w:ascii="Calibri" w:cs="Calibri" w:eastAsia="Calibri" w:hAnsi="Calibri"/>
          <w:b/>
          <w:bCs/>
          <w:sz w:val="22"/>
          <w:szCs w:val="22"/>
        </w:rPr>
        <w:t xml:space="preserve">At the middle of the path: who decides, and how is consent kept? </w:t>
      </w:r>
      <w:r>
        <w:rPr>
          <w:rFonts w:ascii="Calibri" w:cs="Calibri" w:eastAsia="Calibri" w:hAnsi="Calibri"/>
          <w:sz w:val="22"/>
          <w:szCs w:val="22"/>
        </w:rPr>
        <w:t xml:space="preserve">Consent is not a signature but a standing relationship. Who, within a landowning community, decides, and how is genuine consensus built and then maintained across clans and generations, rather than secured from a few leaders on a single day? And which outside actors (CEPA, provincial governments, NGOs, funders) can accept a genuinely supporting role rather than a directing one? This is the terrain of free, prior and informed consent (FPIC): a principle easier to name than to practise on customary land, and one the symposium should treat as integral to the pathway rather than assumed along it.</w:t>
      </w:r>
    </w:p>
    <w:p>
      <w:pPr>
        <w:spacing w:after="140" w:line="276"/>
        <w:jc w:val="both"/>
      </w:pPr>
      <w:r>
        <w:rPr>
          <w:rFonts w:ascii="Calibri" w:cs="Calibri" w:eastAsia="Calibri" w:hAnsi="Calibri"/>
          <w:b/>
          <w:bCs/>
          <w:sz w:val="22"/>
          <w:szCs w:val="22"/>
        </w:rPr>
        <w:t xml:space="preserve">Whose consent, and whose benefit? Equity and inclusion within the community. </w:t>
      </w:r>
      <w:r>
        <w:rPr>
          <w:rFonts w:ascii="Calibri" w:cs="Calibri" w:eastAsia="Calibri" w:hAnsi="Calibri"/>
          <w:sz w:val="22"/>
          <w:szCs w:val="22"/>
        </w:rPr>
        <w:t xml:space="preserve">“Community consent” can conceal as much as it reveals, because a community is not a single voice. Within it are women and men, elders and youth, larger clans and minority ones, those present and those away for work, and generations not yet able to speak for themselves. Consent obtained from a handful of senior men on a single day is not the consent of the whole; and benefits captured by the well-placed are not benefits shared. The questions here are practical and unavoidable. How are women, youth and minority clans given a real voice in the decision and a fair share of what flows from it? How is elite capture guarded against, and intra-community conflict worked through rather than papered over? And how is the consent of one generation kept legitimate for the next, whose land it equally will be: an intergenerational consent, not a one-off transaction? A conservation model that cannot answer these has not secured consent so much as a signature. Equity and social inclusion are not an add-on to the pathway; they are the test of whether the consent at its heart is real, and whether the benefits it promises reach the people in whose name it is made.</w:t>
      </w:r>
    </w:p>
    <w:p>
      <w:pPr>
        <w:spacing w:after="140" w:line="276"/>
        <w:jc w:val="both"/>
      </w:pPr>
      <w:r>
        <w:rPr>
          <w:rFonts w:ascii="Calibri" w:cs="Calibri" w:eastAsia="Calibri" w:hAnsi="Calibri"/>
          <w:b/>
          <w:bCs/>
          <w:sz w:val="22"/>
          <w:szCs w:val="22"/>
        </w:rPr>
        <w:t xml:space="preserve">At the end of the path: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the question is what management actually means here: its extent and its scope. What must a community-owned area do, and be seen to do, for its conservation to count as active rather than nominal: what monitoring, what rule-making and enforcement, what upkeep of boundaries, what local governance and reporting? The answer matters twice over. It is the difference between a gazetted line and a place genuinely under management; and it is also what makes conservation legible enough to be funded, because no funder will pay for management that cannot be described, shown and verified. Defining that scope, thick enough to be effective and light enough to be afforded, is one of the harder tasks the symposium faces.</w:t>
      </w:r>
    </w:p>
    <w:p>
      <w:pPr>
        <w:spacing w:after="140" w:line="276"/>
        <w:jc w:val="both"/>
      </w:pPr>
      <w:r>
        <w:rPr>
          <w:rFonts w:ascii="Calibri" w:cs="Calibri" w:eastAsia="Calibri" w:hAnsi="Calibri"/>
          <w:b/>
          <w:bCs/>
          <w:sz w:val="22"/>
          <w:szCs w:val="22"/>
        </w:rPr>
        <w:t xml:space="preserve">And then the cost, and the living it must leave behind. </w:t>
      </w:r>
      <w:r>
        <w:rPr>
          <w:rFonts w:ascii="Calibri" w:cs="Calibri" w:eastAsia="Calibri" w:hAnsi="Calibri"/>
          <w:sz w:val="22"/>
          <w:szCs w:val="22"/>
        </w:rPr>
        <w:t xml:space="preserve">Only once it is clear what is to be conserved, and what managing it requires, can money be discussed in the right order: first what effective management costs, and then how a livelihood, an income, reaches the community that carries it. Two disciplines matter here. The payment cannot be payment for nothing. A landowner who forgoes logging has given up a real income, and that opportunity cost must be honestly met; but meeting it by paying people simply to leave the forest alone breeds the dependency and passivity that helped undo the ICAD bargains. The durable form is payment structured around activities and deliverables that can be identified, done and paid for: the work of monitoring, mapping and upkeep, and the building of real livelihoods from the standing forest, so that the money buys conservation and builds an economy at the same time. The distinction the symposium should hold on to is between compensation, which pays for a loss, and livelihood, which builds something that lasts; between renting a community’s restraint and investing in its future.</w:t>
      </w:r>
    </w:p>
    <w:p>
      <w:pPr>
        <w:spacing w:after="140" w:line="276"/>
        <w:jc w:val="both"/>
      </w:pPr>
      <w:r>
        <w:rPr>
          <w:rFonts w:ascii="Calibri" w:cs="Calibri" w:eastAsia="Calibri" w:hAnsi="Calibri"/>
          <w:b/>
          <w:bCs/>
          <w:sz w:val="22"/>
          <w:szCs w:val="22"/>
        </w:rPr>
        <w:t xml:space="preserve">Across the whole path: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and what, concretely, makes consent-led conservation more durable than the development bargain it replaced? And could this path be walked not once but hundreds of times, across a customary-owned country, to approach the 30x30 target, or does reaching thirty per cent demand something the model does not yet have? And if it can be repeated, can it be repeated more cheaply, and does the unit cost fall as the approach is learned and the systems are built once and reused? Probably it does, but only so far: the expensive, unhurried part is the consent itself, and each community needs its own way, and its own time, to reach a decision that cannot be rushed without breaking it.</w:t>
      </w:r>
    </w:p>
    <w:p>
      <w:pPr>
        <w:spacing w:after="140" w:line="276"/>
        <w:jc w:val="both"/>
      </w:pPr>
      <w:r>
        <w:rPr>
          <w:rFonts w:ascii="Calibri" w:cs="Calibri" w:eastAsia="Calibri" w:hAnsi="Calibri"/>
          <w:b/>
          <w:bCs/>
          <w:sz w:val="22"/>
          <w:szCs w:val="22"/>
        </w:rPr>
        <w:t xml:space="preserve">Over a changing climate: conservation for a moving target. </w:t>
      </w:r>
      <w:r>
        <w:rPr>
          <w:rFonts w:ascii="Calibri" w:cs="Calibri" w:eastAsia="Calibri" w:hAnsi="Calibri"/>
          <w:sz w:val="22"/>
          <w:szCs w:val="22"/>
        </w:rPr>
        <w:t xml:space="preserve">Every question so far assumes the landscape being conserved will stay roughly as it is; it will not. A protected area is a boundary drawn around a place at a moment in time, but the forests, species and water it is meant to hold are already shifting as the climate changes: rainfall less predictable, dry spells and extreme events more frequent, ranges and growing seasons moving under communities’ feet. Conservation in Papua New Guinea has been built almost entirely around present-day boundaries and present-day threats, and has barely begun to ask what it is conserving for a planet that will not sit still. So a question runs beneath all the others: how do we prepare conservation (the protected areas, the customary landscapes, the pathway itself) for the future impacts of a changing climate? Are fixed gazetted lines the right instrument for a moving target, or must a customary landscape be managed for change: for species that shift, forests that regenerate differently, and communities whose own adaptation will depend on the very land being conserved? Conservation and adaptation are too often run as separate agendas; where people live directly from the forest they may be a single task, and how the two are joined is a question this symposium is well placed to open.</w:t>
      </w:r>
    </w:p>
    <w:p>
      <w:pPr>
        <w:spacing w:after="140" w:line="276"/>
        <w:jc w:val="both"/>
      </w:pPr>
      <w:r>
        <w:rPr>
          <w:rFonts w:ascii="Calibri" w:cs="Calibri" w:eastAsia="Calibri" w:hAnsi="Calibri"/>
          <w:b/>
          <w:bCs/>
          <w:sz w:val="22"/>
          <w:szCs w:val="22"/>
        </w:rPr>
        <w:t xml:space="preserve">And beyond the path: is there a fifth wave? </w:t>
      </w:r>
      <w:r>
        <w:rPr>
          <w:rFonts w:ascii="Calibri" w:cs="Calibri" w:eastAsia="Calibri" w:hAnsi="Calibri"/>
          <w:sz w:val="22"/>
          <w:szCs w:val="22"/>
        </w:rPr>
        <w:t xml:space="preserve">The four waves tell an unsettling story: the deliberate attempts (imposition, transaction, consent) have between them secured only a few per cent of the country and managed even less, while the forests that remain, remain largely because of the first wave that no one designed. Measured by outcome rather than intention, it is the forests that no one set out to protect that have lasted best. That is not an argument for romanticising the past;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declaring the steep, remote land no one contests, produces only the “residual reserve” this history warns against. Melick and colleagues (2012) make the point academically: the pressure to hit spatial targets has itself proved counterproductive in Papua New Guinea, wasting scarce resources on “token protected areas” while much apparent protection “is likely due to… inaccessibility”, land counted as saved that was never truly at risk. You cannot, as they quote, “overcome poor quality with greater quantity”. The better question is whether the country’s genuinely functioning customary conservation can be described and formally recognised as what it already is; the conservation deed already gestures at this. The framework allows it: Target 3 counts not only protected areas but “other effective area-based conservation measures” and the conserved territories of indigenous peoples and local communities (IUCN 2023). This is not a marginal accounting trick. Recent global work finds that once national datasets and potential OECMs are counted, conservation-area coverage is far higher than the official figures record, close to 27 per cent of the world’s land rather than the reported 18.5 per cent (O’Neill et al. 2026), though nothing like that in Papua New Guinea, which sits near four per cent even when Managalas is counted. Much of that uncounted land is community-, Indigenous- or privately-governed, and the same study finds it can match or outperform state protected areas, and matters most of all for tropical forests. But it carries the warning this paper has made throughout: adding area achieves little on its own, because the land most easily counted is the land least under threat, and genuine representativeness barely improves. Recognition is therefore real and substantial, but only if it reaches the forests that matter rather than the residual reserve, and, as that study stresses, only where the people who govern the land ask for it. A fifth wave might therefore be less an invention than a recognition of the remaining potential of the first. Whether that recognition can be made rigorous, representative rather than residual, and, the hard test, bounded and governed enough to be funded and counted internationally, without extinguishing the very customary autonomy that makes it work, is the question this symposium is best placed to open.</w:t>
      </w:r>
    </w:p>
    <w:p>
      <w:pPr>
        <w:spacing w:after="40" w:before="20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2427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5. </w:t>
      </w:r>
      <w:r>
        <w:rPr>
          <w:rFonts w:ascii="Calibri" w:cs="Calibri" w:eastAsia="Calibri" w:hAnsi="Calibri"/>
          <w:i/>
          <w:iCs/>
          <w:color w:val="444444"/>
          <w:sz w:val="18"/>
          <w:szCs w:val="18"/>
        </w:rPr>
        <w:t xml:space="preserve">A potential fifth wave. The four deliberate waves are joined by a possible fifth, not a new intervention but the recognition of what the first wave still holds: intact customary land, described and formally acknowledged (through OECMs, mapping and recognised community-conserved areas) as conservation that is bounded, governed, counted and owned. The dashed return to Wave One marks that this fifth wave recognises the remaining potential of the first, rather than replacing it.</w:t>
      </w:r>
    </w:p>
    <w:p>
      <w:pPr>
        <w:spacing w:after="140" w:line="276"/>
        <w:jc w:val="both"/>
      </w:pPr>
      <w:r>
        <w:rPr>
          <w:rFonts w:ascii="Calibri" w:cs="Calibri" w:eastAsia="Calibri" w:hAnsi="Calibri"/>
          <w:sz w:val="22"/>
          <w:szCs w:val="22"/>
        </w:rPr>
        <w:t xml:space="preserve">These are not rhetorical questions; they are the working agenda. Where the record does offer guidance it is consistent: the lessons drawn from a generation of PNG field projects come down to planning before choosing a site, investing for a decade rather than a project cycle, building trust first, tying conservation to the community’s own needs, working with rather than around government, and securing finance for the long term (Beehler and Kirkman 2013). The task of the days ahead is to turn these into priorities (what must change, who must act, and in what order) and to set that down in the communiqué. The history offers no formula, but it offers something more useful than optimism: a clear record, much of it Papua New Guinean and some of it from this very province, of what has been tried, what has failed, and what, slowly and on the owners’ terms,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the “paper park” is a global problem,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and is therefore free, and obliged, to design its own. An approach that genuinely works here,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resting conservation on the authority of the people who own the land, would not only resolve Papua New Guinea’s difficulty. It would speak to the problems that beset protected areas everywhere, most of which also depend, in the end, on the people who live alongside them. That is the task the days ahead are meant to take up.</w:t>
      </w:r>
    </w:p>
    <w:p>
      <w:pPr>
        <w:pStyle w:val="Heading1"/>
        <w:spacing w:after="140" w:before="280"/>
      </w:pPr>
      <w:r>
        <w:rPr>
          <w:rFonts w:ascii="Calibri" w:cs="Calibri" w:eastAsia="Calibri" w:hAnsi="Calibri"/>
          <w:b/>
          <w:bCs/>
          <w:color w:val="1F5C2E"/>
          <w:sz w:val="30"/>
          <w:szCs w:val="30"/>
        </w:rPr>
        <w:t xml:space="preserve">Acknowledgements</w:t>
      </w:r>
    </w:p>
    <w:p>
      <w:pPr>
        <w:spacing w:after="140" w:line="276"/>
        <w:jc w:val="both"/>
      </w:pPr>
      <w:r>
        <w:rPr>
          <w:rFonts w:ascii="Calibri" w:cs="Calibri" w:eastAsia="Calibri" w:hAnsi="Calibri"/>
          <w:sz w:val="22"/>
          <w:szCs w:val="22"/>
        </w:rPr>
        <w:t xml:space="preserve">This paper was prepared by CIFOR–ICRAF Papua New Guinea for the Managalas and Oro Province Project (MOPP), under the European Union Forestry, Climate Change and Biodiversity (EU–FCCB) Nexus Programme. The work is funded by the European Union; the views expressed are those of the authors and do not necessarily reflect those of the European Union or of CIFOR–ICRAF.</w:t>
      </w:r>
    </w:p>
    <w:p>
      <w:pPr>
        <w:spacing w:after="140" w:line="276"/>
        <w:jc w:val="both"/>
      </w:pPr>
      <w:r>
        <w:rPr>
          <w:rFonts w:ascii="Calibri" w:cs="Calibri" w:eastAsia="Calibri" w:hAnsi="Calibri"/>
          <w:sz w:val="22"/>
          <w:szCs w:val="22"/>
        </w:rPr>
        <w:t xml:space="preserve">It draws on three decades of work in the Managalas Conservation Area, and the authors are grateful above all to the customary landowners and clans of the Managalas plateau, whose decisions are the substance of much of this history. Thanks are due to the Managalas Conservation Foundation (MCF), to Partners with Melanesians (PwM), and to the long-standing support of Rainforest Foundation Norway (RFN), whose combined efforts over many years underpin the account given here.</w:t>
      </w:r>
    </w:p>
    <w:p>
      <w:pPr>
        <w:spacing w:after="140" w:line="276"/>
        <w:jc w:val="both"/>
      </w:pPr>
      <w:r>
        <w:rPr>
          <w:rFonts w:ascii="Calibri" w:cs="Calibri" w:eastAsia="Calibri" w:hAnsi="Calibri"/>
          <w:sz w:val="22"/>
          <w:szCs w:val="22"/>
        </w:rPr>
        <w:t xml:space="preserve">The paper was improved by review and comment from colleagues within and beyond CIFOR–ICRAF. In particular, the authors thank Lester Seri for a detailed critical review and for a contribution on national conservation-finance arrangements. </w:t>
      </w:r>
      <w:r>
        <w:rPr>
          <w:rFonts w:ascii="Calibri" w:cs="Calibri" w:eastAsia="Calibri" w:hAnsi="Calibri"/>
          <w:i/>
          <w:iCs/>
          <w:color w:val="AA0000"/>
          <w:sz w:val="22"/>
          <w:szCs w:val="22"/>
        </w:rPr>
        <w:t xml:space="preserve">[ Names to confirm and complete: reviewers, contributors and co-authors to be listed here before circulation. ]</w:t>
      </w:r>
    </w:p>
    <w:p>
      <w:pPr>
        <w:spacing w:after="140" w:line="276"/>
        <w:jc w:val="both"/>
      </w:pPr>
      <w:r>
        <w:rPr>
          <w:rFonts w:ascii="Calibri" w:cs="Calibri" w:eastAsia="Calibri" w:hAnsi="Calibri"/>
          <w:sz w:val="22"/>
          <w:szCs w:val="22"/>
        </w:rPr>
        <w:t xml:space="preserve">Responsibility for the argument, and for any error of fact or interpretation, rests with the authors alone.</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Pacific Economic Bulletin 20(1): 56–70. Canberra: Asia Pacific Press.</w:t>
      </w:r>
    </w:p>
    <w:p>
      <w:pPr>
        <w:spacing w:after="100" w:line="264"/>
        <w:ind w:left="576" w:hanging="576"/>
      </w:pPr>
      <w:r>
        <w:rPr>
          <w:rFonts w:ascii="Calibri" w:cs="Calibri" w:eastAsia="Calibri" w:hAnsi="Calibri"/>
          <w:sz w:val="20"/>
          <w:szCs w:val="20"/>
        </w:rPr>
        <w:t xml:space="preserve">Beehler, B. M. and Kirkman, A. J. (eds) (2013). </w:t>
      </w:r>
      <w:r>
        <w:rPr>
          <w:rFonts w:ascii="Calibri" w:cs="Calibri" w:eastAsia="Calibri" w:hAnsi="Calibri"/>
          <w:i/>
          <w:iCs/>
          <w:sz w:val="20"/>
          <w:szCs w:val="20"/>
        </w:rPr>
        <w:t xml:space="preserve">Lessons Learned from the Field: Achieving Conservation Success in Papua New Guinea</w:t>
      </w:r>
      <w:r>
        <w:rPr>
          <w:rFonts w:ascii="Calibri" w:cs="Calibri" w:eastAsia="Calibri" w:hAnsi="Calibri"/>
          <w:sz w:val="20"/>
          <w:szCs w:val="20"/>
        </w:rPr>
        <w:t xml:space="preserve">. Arlington, VA: Conservation International.</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Henning, B. M. (2015). ‘Market-based Conservation in Melanesia: Contrasting Expectations of Landowners and Conservationists.’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13(3): 299–310.</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Independent State of Papua New Guinea. </w:t>
      </w:r>
      <w:r>
        <w:rPr>
          <w:rFonts w:ascii="Calibri" w:cs="Calibri" w:eastAsia="Calibri" w:hAnsi="Calibri"/>
          <w:i/>
          <w:iCs/>
          <w:sz w:val="20"/>
          <w:szCs w:val="20"/>
        </w:rPr>
        <w:t xml:space="preserve">National Biodiversity Strategy and Action Plan (NBSAP)</w:t>
      </w:r>
      <w:r>
        <w:rPr>
          <w:rFonts w:ascii="Calibri" w:cs="Calibri" w:eastAsia="Calibri" w:hAnsi="Calibri"/>
          <w:sz w:val="20"/>
          <w:szCs w:val="20"/>
        </w:rPr>
        <w:t xml:space="preserve">. Port Moresby: Conservation and Environment Protection Authority. (Edition and dates to be confirmed at finalisation.)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Mace, G. M. (2014). ‘Whose conservation?’ </w:t>
      </w:r>
      <w:r>
        <w:rPr>
          <w:rFonts w:ascii="Calibri" w:cs="Calibri" w:eastAsia="Calibri" w:hAnsi="Calibri"/>
          <w:i/>
          <w:iCs/>
          <w:sz w:val="20"/>
          <w:szCs w:val="20"/>
        </w:rPr>
        <w:t xml:space="preserve">Science</w:t>
      </w:r>
      <w:r>
        <w:rPr>
          <w:rFonts w:ascii="Calibri" w:cs="Calibri" w:eastAsia="Calibri" w:hAnsi="Calibri"/>
          <w:sz w:val="20"/>
          <w:szCs w:val="20"/>
        </w:rPr>
        <w:t xml:space="preserve"> 345(6204): 1558–1560.</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Melick, D. R., Kinch, J. P. and Govan, H. (2012). ‘How Global Biodiversity Targets Risk Becoming Counterproductive: The Case of Papua New Guinea.’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10(4): 344–353.</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O’Neill, H. M. K. et al. (2026). ‘Global conservation area coverage substantially exceeds current estimates.’ </w:t>
      </w:r>
      <w:r>
        <w:rPr>
          <w:rFonts w:ascii="Calibri" w:cs="Calibri" w:eastAsia="Calibri" w:hAnsi="Calibri"/>
          <w:i/>
          <w:iCs/>
          <w:sz w:val="20"/>
          <w:szCs w:val="20"/>
        </w:rPr>
        <w:t xml:space="preserve">Nature</w:t>
      </w:r>
      <w:r>
        <w:rPr>
          <w:rFonts w:ascii="Calibri" w:cs="Calibri" w:eastAsia="Calibri" w:hAnsi="Calibri"/>
          <w:sz w:val="20"/>
          <w:szCs w:val="20"/>
        </w:rPr>
        <w:t xml:space="preserve">. https://doi.org/10.1038/s41586-026-11157-4</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Zeriga, T. and Jimbudo, M. (2024). ‘Conservation Deeds by the People, for the People.’ </w:t>
      </w:r>
      <w:r>
        <w:rPr>
          <w:rFonts w:ascii="Calibri" w:cs="Calibri" w:eastAsia="Calibri" w:hAnsi="Calibri"/>
          <w:i/>
          <w:iCs/>
          <w:sz w:val="20"/>
          <w:szCs w:val="20"/>
        </w:rPr>
        <w:t xml:space="preserve">Langscape Magazine</w:t>
      </w:r>
      <w:r>
        <w:rPr>
          <w:rFonts w:ascii="Calibri" w:cs="Calibri" w:eastAsia="Calibri" w:hAnsi="Calibri"/>
          <w:sz w:val="20"/>
          <w:szCs w:val="20"/>
        </w:rPr>
        <w:t xml:space="preserve">, Vol. 13. Salt Spring Island: Terralingua.</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(v15)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image" Target="media/c8ae7e805cfd369ae7c23abe1f36485738937fe8.png"/><Relationship Id="rId11" Type="http://schemas.openxmlformats.org/officeDocument/2006/relationships/fontTable" Target="fontTable.xml"/><Relationship Id="rId12" Type="http://schemas.openxmlformats.org/officeDocument/2006/relationships/image" Target="media/pegs_v1.png"/><Relationship Id="rId13" Type="http://schemas.openxmlformats.org/officeDocument/2006/relationships/image" Target="media/gazettal_v1.png"/><Relationship Id="rId14" Type="http://schemas.openxmlformats.org/officeDocument/2006/relationships/image" Target="media/forest_v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2026-08-20T04:35:13.423Z</dcterms:created>
  <dcterms:modified xsi:type="dcterms:W3CDTF">2026-08-20T04:35:13.423Z</dcterms:modified>
</cp:coreProperties>
</file>

<file path=docProps/custom.xml><?xml version="1.0" encoding="utf-8"?>
<Properties xmlns="http://schemas.openxmlformats.org/officeDocument/2006/custom-properties" xmlns:vt="http://schemas.openxmlformats.org/officeDocument/2006/docPropsVTypes"/>
</file>