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in the field. The proceedings of that meeting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this paper draws on Motupore’s testimony throughout.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therefore double-edged, and the symposium should hold both edges at once. Customary knowledge and institutions are genuine assets and any credible approach must build on them. But romanticising them — treating ‘traditional’ society as a conservation model waiting to be switched back on — misreads the past and sets up the present to fail. The task is not to restore an imagined equilibrium but to construct a new one under conditions of cash, roads, population growth and logging that the old equilibrium never had to face.</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this model contained a contradiction it could never resolve. Because the state owned almost none of the land it wished to protect, its parks were either small islands on the fraction of alienated land, or they depended on customary owners who had been given little reason to cooperate and often had not been meaningfully consulted at all.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of them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development was the hard, unresolved element, and the assumed link between delivering it and achieving conservation was precisely the part that kept failing to hold. Sekhran (1996) saw the mechanism plainly: “material incentives alone are unlikely to achieve conservation objectives”, because once conservation is justified on purely economic grounds, communities who aspire to higher incomes than a project can supply “would either sell out to the highest bidder or increase extraction… beyond sustainable levels”. Non-material — “moral” — incentives, built on customary attachments to land and sacred groves, were needed to reinforce the economic ones. The ICAD wave, for the most part,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own framing is instructive for a symposium audience: the experiment’s result was negative, but its outcome was positive, because it was documented so thoroughly that its lessons could travel. The most important of those lessons — that a development inducement cannot compete with an already-open logging frontier, and that consent must be built before a project is designed rather than purchased after — fed directly into the participatory methodology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a model of community partnership and self-reliance — explicitly rejecting the idea that conservation should be traded for material handouts, and centring instead on empowering communities to decide and act for themselves. The donor-funded project eventually ended; the BRG endured. For a symposium asking what comes after the ICAD bargain, Bismarck–Ramu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is often remembered as the era’s flagship, and it generated real innovation in community participation and biological monitoring — several of its practitioners reported their methods and their frustrations directly at Motupore (Saulei and Ellis 1997). Yet Filer (2004a) uses it to illustrate the era’s recurring weakness: the “cooperative endeavour” between outsiders and landowners often remained superficial, with each side holding a different and unspoken theory of what the arrangement was for. Communities frequently read the project as simply another kind of developer — a source of goods — while conservation staff read the same relationship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 landowner’s ecotourism guesthouse funded in a healthy butterfly area; a water well for another; small cash allowances for twelve “landowner conservationists” who monitored the butterfly and reported at six-monthly workshops; and enterprise experiments in chilli buying, rabbit rearing and insect-trade training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reported by Zibe-Kokino and Girard (1997) of the Village Development Trust, rounds out a picture whose regularities are by now unmistakable. Across the cases, the same failure mechanisms recur: development inducements generated cargo-style expectations that no project could satisfy; conservation returns could not out-compete timber royalties (Filer 2004a); cooperation between outsiders and owners was often superficial and mutually misunderstood; communities slid into dependency and passivity as recipients rather than authors of the work;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this pattern its most uncomfortable formulation from long field experience in the country, in a paper whose title says almost everything: “Why Forest Dwellers Prefer Loggers to Conservationists.” His diagnosis is not that communities do not value their forests, but that in the absence of a competitive alternative they will rationally accept the logger who pays now over the conservationist who promises later. His proposed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it was a national instance of an international reckoning. By the time the ICAD wave crested, conservation scholarship globally had begun to concede that the celebrated “win–win” of conservation and development was an assumption rather than a demonstrated result. Fisher and colleagues (2008), in a landmark IUCN synthesis, put it bluntly: interventions must recognise that trade-offs are real, and that their costs are too often “borne by the” local poor rather than shared. The ICAD promise had quietly reversed the burden of proof — presuming that development would deliver conservation, when in Papua New Guinea, as elsewhere, the two had to be reconciled deliberately and were just as likely to pull apart. Read in that light, the local cases above are not a record of Papua New Guinean failure so much as a particularly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for all its work on the same plateau, did not itself result in a gazetted area. Managalas was gazetted only in 2017, roughly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the direct successor, on the same plateau, to the Oro Butterfly Project of the 1990s — the same landscape, a different theory of how to hold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conservation-deed arrangements advanced by WCS, show landowners and Papua New Guinean organisations designing and holding conservation on their own terms.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The legal architecture has now caught up with the ambition.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establishes a national Protected Area Network and a Biodiversity and Climate Fund, and aligns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 xml:space="preserve">[The precise current national coverage figure should be confirmed against CEPA / Protected Planet at finalisation — flagged rather than asserted here.]</w:t>
      </w:r>
      <w:r>
        <w:rPr>
          <w:rFonts w:ascii="Calibri" w:cs="Calibri" w:eastAsia="Calibri" w:hAnsi="Calibri"/>
          <w:sz w:val="22"/>
          <w:szCs w:val="22"/>
        </w:rPr>
        <w:t xml:space="preserve"> The distance between 2.8 per cent and 30 per cent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and the point is not merely historical.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one-off signature but a relationship that must be sustained for decades, and sustaining it costs money. This is where Wave Four still shares a frontier with Wave Three: a landowner who agrees not to log has foregone a real and often substantial income, and unless that opportunity cost is honestly met the agreement will erode exactly as the ICAD bargains did. Novotny’s (2010) proposal of a conservation royalty — a direct, recurring payment that competes with what the logger would have paid — is one answer; payment for ecosystem services is another; and the Biodiversity and Climate Fund established under the Protected Areas Act 2024 is the country’s first attempt at a standing national mechanism to carry such costs. The unresolved question is not whether these instruments exist but whether any of them can deliver reliable, long-term finance to hundreds of thousands of customary owners — the difference between consent that is bought once and consent that is kept.</w:t>
      </w:r>
    </w:p>
    <w:p>
      <w:pPr>
        <w:pStyle w:val="Heading1"/>
        <w:spacing w:after="140" w:before="280"/>
      </w:pPr>
      <w:r>
        <w:rPr>
          <w:rFonts w:ascii="Calibri" w:cs="Calibri" w:eastAsia="Calibri" w:hAnsi="Calibri"/>
          <w:b/>
          <w:bCs/>
          <w:color w:val="1F5C2E"/>
          <w:sz w:val="30"/>
          <w:szCs w:val="30"/>
        </w:rPr>
        <w:t xml:space="preserve">6.  Open questions for the symposium</w:t>
      </w:r>
    </w:p>
    <w:p>
      <w:pPr>
        <w:spacing w:after="140" w:line="276"/>
        <w:jc w:val="both"/>
      </w:pPr>
      <w:r>
        <w:rPr>
          <w:rFonts w:ascii="Calibri" w:cs="Calibri" w:eastAsia="Calibri" w:hAnsi="Calibri"/>
          <w:sz w:val="22"/>
          <w:szCs w:val="22"/>
        </w:rPr>
        <w:t xml:space="preserve">The point of reading these four waves together is not to declare the newest one victorious. The ICAD era, too, began in optimism and good faith. The honest question is whether the current approach is genuinely different in kind, or whether it repeats the old bargain in more respectful language. Four questions follow from the history, and they map onto the deliberations ahead.</w:t>
      </w:r>
    </w:p>
    <w:p>
      <w:pPr>
        <w:spacing w:after="140" w:line="276"/>
        <w:jc w:val="both"/>
      </w:pPr>
      <w:r>
        <w:rPr>
          <w:rFonts w:ascii="Calibri" w:cs="Calibri" w:eastAsia="Calibri" w:hAnsi="Calibri"/>
          <w:b/>
          <w:bCs/>
          <w:sz w:val="22"/>
          <w:szCs w:val="22"/>
        </w:rPr>
        <w:t xml:space="preserve">First — are today’s approaches genuinely different from the ICAD wave, or the same transaction restated? </w:t>
      </w:r>
      <w:r>
        <w:rPr>
          <w:rFonts w:ascii="Calibri" w:cs="Calibri" w:eastAsia="Calibri" w:hAnsi="Calibri"/>
          <w:sz w:val="22"/>
          <w:szCs w:val="22"/>
        </w:rPr>
        <w:t xml:space="preserve">Consent-led conservation still, in the end, has to offer landowners a livelihood that competes with logging and oil palm. If the money still arrives as project largesse that stops when the donor leaves, the Oro Butterfly Project’s ‘cargo’ problem will return under a new name. What, concretely, makes a consent-based model more durable than the development bargain it replaced?</w:t>
      </w:r>
    </w:p>
    <w:p>
      <w:pPr>
        <w:spacing w:after="140" w:line="276"/>
        <w:jc w:val="both"/>
      </w:pPr>
      <w:r>
        <w:rPr>
          <w:rFonts w:ascii="Calibri" w:cs="Calibri" w:eastAsia="Calibri" w:hAnsi="Calibri"/>
          <w:b/>
          <w:bCs/>
          <w:sz w:val="22"/>
          <w:szCs w:val="22"/>
        </w:rPr>
        <w:t xml:space="preserve">Second — what would 30x30 actually require on customary land? </w:t>
      </w:r>
      <w:r>
        <w:rPr>
          <w:rFonts w:ascii="Calibri" w:cs="Calibri" w:eastAsia="Calibri" w:hAnsi="Calibri"/>
          <w:sz w:val="22"/>
          <w:szCs w:val="22"/>
        </w:rPr>
        <w:t xml:space="preserve">Reaching 30 per cent means securing the willing agreement of a very large number of independent customary groups, and then sustaining it for decades. That points to questions of long-term finance — Novotny’s (2010) conservation royalty, payment for ecosystem services, the new Biodiversity and Climate Fund — and to whether the opportunity cost of not logging can be honestly met, year after year, at national scale.</w:t>
      </w:r>
    </w:p>
    <w:p>
      <w:pPr>
        <w:spacing w:after="140" w:line="276"/>
        <w:jc w:val="both"/>
      </w:pPr>
      <w:r>
        <w:rPr>
          <w:rFonts w:ascii="Calibri" w:cs="Calibri" w:eastAsia="Calibri" w:hAnsi="Calibri"/>
          <w:b/>
          <w:bCs/>
          <w:sz w:val="22"/>
          <w:szCs w:val="22"/>
        </w:rPr>
        <w:t xml:space="preserve">Third — who decides? </w:t>
      </w:r>
      <w:r>
        <w:rPr>
          <w:rFonts w:ascii="Calibri" w:cs="Calibri" w:eastAsia="Calibri" w:hAnsi="Calibri"/>
          <w:sz w:val="22"/>
          <w:szCs w:val="22"/>
        </w:rPr>
        <w:t xml:space="preserve">Every wave foundered, in part, on this question. Wave Two decided for communities; Wave Three decided that development would decide for them. The wager of the current wave is that decisions must be made by the customary owners themselves, with outside actors in support rather than control. Whether the country’s institutions — CEPA, provincial governments, NGOs and donors — can genuinely accept that division of authority is, perhaps, the question on which 30x30 in Papua New Guinea will turn.</w:t>
      </w:r>
    </w:p>
    <w:p>
      <w:pPr>
        <w:spacing w:after="140" w:line="276"/>
        <w:jc w:val="both"/>
      </w:pPr>
      <w:r>
        <w:rPr>
          <w:rFonts w:ascii="Calibri" w:cs="Calibri" w:eastAsia="Calibri" w:hAnsi="Calibri"/>
          <w:b/>
          <w:bCs/>
          <w:sz w:val="22"/>
          <w:szCs w:val="22"/>
        </w:rPr>
        <w:t xml:space="preserve">Fourth — and underlying the rest — what do we mean by conservation in Papua New Guinea? </w:t>
      </w:r>
      <w:r>
        <w:rPr>
          <w:rFonts w:ascii="Calibri" w:cs="Calibri" w:eastAsia="Calibri" w:hAnsi="Calibri"/>
          <w:sz w:val="22"/>
          <w:szCs w:val="22"/>
        </w:rPr>
        <w:t xml:space="preserve">The word carries very different meanings for a global donor, a national agency and a customary landowner, and the history above suggests that much past failure began in that unspoken gap. How should conservation be framed and communicated — to landowners on one side and to external supporters on the other — so that all parties are agreeing to the same thing? What does it actually mean on the ground: a boundary, a set of rules, a source of income, a form of ongoing management, or all of these? And what realistic outcomes can honestly be offered — to a landowner weighing it against a logging royalty, and to a donor weighing it against a target? A shared, plainly-stated answer to these questions may be the precondition for progress on the other three.</w:t>
      </w:r>
    </w:p>
    <w:p>
      <w:pPr>
        <w:spacing w:after="140" w:line="276"/>
        <w:jc w:val="both"/>
      </w:pPr>
      <w:r>
        <w:rPr>
          <w:rFonts w:ascii="Calibri" w:cs="Calibri" w:eastAsia="Calibri" w:hAnsi="Calibri"/>
          <w:sz w:val="22"/>
          <w:szCs w:val="22"/>
        </w:rPr>
        <w:t xml:space="preserve">These are the questions this symposium is convened to work through. The history offers no formula, but it does offer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(v4)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2026-07-29T20:08:43.862Z</dcterms:created>
  <dcterms:modified xsi:type="dcterms:W3CDTF">2026-07-29T20:08:43.879Z</dcterms:modified>
</cp:coreProperties>
</file>

<file path=docProps/custom.xml><?xml version="1.0" encoding="utf-8"?>
<Properties xmlns="http://schemas.openxmlformats.org/officeDocument/2006/custom-properties" xmlns:vt="http://schemas.openxmlformats.org/officeDocument/2006/docPropsVTypes"/>
</file>