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7).</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 voluntary, legally-binding contracts by which clans place their own land off-limits to logging and mining without surrendering it into a state protected-area category — show landowners and Papua New Guinean organisations designing and holding conservation on their own terms. Zeriga and Jimbudo (2024) describe why clans increasingly prefer the deed to gazettal: the process is led by the community, the rules are made and policed locally — “more effective governance”, in their words —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 around a single flagship species —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 held up not by the communities but by the logging politics around them. Only Managalas began from land rights rather than a species, and even it matured over some thirty years. Wave Four is less a finished template than an evolving trajectory —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The gap it must close is stark. Formal protected-area coverage stood at about 2.8 per cent of the land in the mid-1990s (Sekhran 1996) and, on the most recent national figures, has crept only to around 4 per cent — some 61 areas, more than nine in ten of them Wildlife Management Areas (Melick et al. 2012) —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 from the Fourth Goal of the Constitution, through Vision 2050 and the Development Strategic Plan 2010–2030,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 a living from their land and the protection of it; as Melick and colleagues (2012) argue, resource-use decisions here are ultimately political, and any workable approach must be “holistic resource management that includes development”. The future turns on securing the two together — which is why the definition the symposium must settle, taken up next, cannot be one of nature protection alone.</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Forest structure —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 the IUCN’s protected-area definition now speaks of nature “with associated ecosystem services and cultural values”, and the new paradigm brings people in (Phillips 2003) —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 sustaining nature, community and social order together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 delimited in space — and </w:t>
      </w:r>
      <w:r>
        <w:rPr>
          <w:rFonts w:ascii="Calibri" w:cs="Calibri" w:eastAsia="Calibri" w:hAnsi="Calibri"/>
          <w:i/>
          <w:iCs/>
          <w:sz w:val="22"/>
          <w:szCs w:val="22"/>
        </w:rPr>
        <w:t xml:space="preserve">governed</w:t>
      </w:r>
      <w:r>
        <w:rPr>
          <w:rFonts w:ascii="Calibri" w:cs="Calibri" w:eastAsia="Calibri" w:hAnsi="Calibri"/>
          <w:sz w:val="22"/>
          <w:szCs w:val="22"/>
        </w:rPr>
        <w:t xml:space="preserve"> —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 what is the work achieving? —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 capacious enough to be owned locally, yet bounded, governed, measured and lasting enough to be funded internationally — is among the questions the symposium must leave open.</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one of the hardest questions is this: how does a community-owned area secure the funding, capacity, monitoring and local governance that turn a gazetted line into a place genuinely under management — and how is the opportunity cost of not logging met, reliably, across the decades that consent must last?</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w:t>
      </w:r>
    </w:p>
    <w:p>
      <w:pPr>
        <w:spacing w:after="140" w:line="276"/>
        <w:jc w:val="both"/>
      </w:pPr>
      <w:r>
        <w:rPr>
          <w:rFonts w:ascii="Calibri" w:cs="Calibri" w:eastAsia="Calibri" w:hAnsi="Calibri"/>
          <w:b/>
          <w:bCs/>
          <w:sz w:val="22"/>
          <w:szCs w:val="22"/>
        </w:rPr>
        <w:t xml:space="preserve">And beyond the path — is there a fifth wave? </w:t>
      </w:r>
      <w:r>
        <w:rPr>
          <w:rFonts w:ascii="Calibri" w:cs="Calibri" w:eastAsia="Calibri" w:hAnsi="Calibri"/>
          <w:sz w:val="22"/>
          <w:szCs w:val="22"/>
        </w:rPr>
        <w:t xml:space="preserve">The four waves tell an unsettling story: the deliberate attempts — imposition, transaction, consent —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 declaring the steep, remote land no one contests —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 land counted as saved that was never truly at risk. You cannot, as they quote, “overcome poor quality with greater quantity”. The better question is whether the country’s genuinely functioning customary conservation can be described and formally recognised as what it already is — the conservation deed already gestures at this. The framework allows it: Target 3 counts not only protected areas but “other effective area-based conservation measures” and the conserved territories of indigenous peoples and local communities (IUCN 2023). A fifth wave might therefore be less an invention than a recognition — of the remaining potential of the first. Whether that recognition can be made rigorous, representative rather than residual, and — the hard test — bounded and governed enough to be funded and counted internationally, without extinguishing the very customary autonomy that makes it work, is the question this symposium is best placed to open.</w:t>
      </w:r>
    </w:p>
    <w:p>
      <w:pPr>
        <w:spacing w:after="140" w:line="276"/>
        <w:jc w:val="both"/>
      </w:pPr>
      <w:r>
        <w:rPr>
          <w:rFonts w:ascii="Calibri" w:cs="Calibri" w:eastAsia="Calibri" w:hAnsi="Calibri"/>
          <w:sz w:val="22"/>
          <w:szCs w:val="22"/>
        </w:rPr>
        <w:t xml:space="preserve">These are not rhetorical questions; they are the working agenda. The task of the days ahead is to turn them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(v8)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2026-07-31T22:38:06.221Z</dcterms:created>
  <dcterms:modified xsi:type="dcterms:W3CDTF">2026-07-31T22:38:06.221Z</dcterms:modified>
</cp:coreProperties>
</file>

<file path=docProps/custom.xml><?xml version="1.0" encoding="utf-8"?>
<Properties xmlns="http://schemas.openxmlformats.org/officeDocument/2006/custom-properties" xmlns:vt="http://schemas.openxmlformats.org/officeDocument/2006/docPropsVTypes"/>
</file>