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5C2E"/>
          <w:sz w:val="40"/>
          <w:szCs w:val="40"/>
        </w:rPr>
        <w:t xml:space="preserve">Waves of Conservation in Papua New Guinea</w:t>
      </w:r>
    </w:p>
    <w:p>
      <w:pPr>
        <w:pBdr>
          <w:bottom w:val="single" w:color="1F5C2E" w:sz="12" w:space="6"/>
        </w:pBdr>
        <w:spacing w:after="200"/>
      </w:pPr>
      <w:r>
        <w:rPr>
          <w:rFonts w:ascii="Calibri" w:cs="Calibri" w:eastAsia="Calibri" w:hAnsi="Calibri"/>
          <w:i/>
          <w:iCs/>
          <w:color w:val="444444"/>
          <w:sz w:val="26"/>
          <w:szCs w:val="26"/>
        </w:rPr>
        <w:t xml:space="preserve">From circumstance, to imposition, to transaction — and towards consent</w:t>
      </w:r>
    </w:p>
    <w:p>
      <w:pPr>
        <w:spacing w:after="40"/>
      </w:pPr>
      <w:r>
        <w:rPr>
          <w:rFonts w:ascii="Calibri" w:cs="Calibri" w:eastAsia="Calibri" w:hAnsi="Calibri"/>
          <w:b/>
          <w:bCs/>
          <w:sz w:val="22"/>
          <w:szCs w:val="22"/>
        </w:rPr>
        <w:t xml:space="preserve">A background paper for the Practitioner Symposium</w:t>
      </w:r>
    </w:p>
    <w:p>
      <w:pPr>
        <w:spacing w:after="200"/>
      </w:pPr>
      <w:r>
        <w:rPr>
          <w:rFonts w:ascii="Calibri" w:cs="Calibri" w:eastAsia="Calibri" w:hAnsi="Calibri"/>
          <w:i/>
          <w:iCs/>
          <w:color w:val="444444"/>
          <w:sz w:val="22"/>
          <w:szCs w:val="22"/>
        </w:rPr>
        <w:t xml:space="preserve">“Conservation in the Context of Customary Land Ownership in Papua New Guinea” — Popondetta, Oro Province</w:t>
      </w:r>
    </w:p>
    <w:p>
      <w:pPr>
        <w:spacing w:after="240"/>
      </w:pPr>
      <w:r>
        <w:rPr>
          <w:rFonts w:ascii="Calibri" w:cs="Calibri" w:eastAsia="Calibri" w:hAnsi="Calibri"/>
          <w:color w:val="444444"/>
          <w:sz w:val="20"/>
          <w:szCs w:val="20"/>
        </w:rPr>
        <w:t xml:space="preserve">Prepared by CIFOR–ICRAF Papua New Guinea for the Managalas and Oro Province Project (MOPP). </w:t>
      </w:r>
      <w:r>
        <w:rPr>
          <w:rFonts w:ascii="Calibri" w:cs="Calibri" w:eastAsia="Calibri" w:hAnsi="Calibri"/>
          <w:b/>
          <w:bCs/>
          <w:color w:val="444444"/>
          <w:sz w:val="20"/>
          <w:szCs w:val="20"/>
        </w:rPr>
        <w:t xml:space="preserve">This work is delivered under the European Union Forestry, Climate Change and Biodiversity (EU–FCCB) Nexus Programme and is funded by the European Union.</w:t>
      </w:r>
    </w:p>
    <w:p>
      <w:pPr>
        <w:pStyle w:val="Heading1"/>
        <w:spacing w:after="140" w:before="280"/>
      </w:pPr>
      <w:r>
        <w:rPr>
          <w:rFonts w:ascii="Calibri" w:cs="Calibri" w:eastAsia="Calibri" w:hAnsi="Calibri"/>
          <w:b/>
          <w:bCs/>
          <w:color w:val="1F5C2E"/>
          <w:sz w:val="30"/>
          <w:szCs w:val="30"/>
        </w:rPr>
        <w:t xml:space="preserve">1.  Introduction: why the history matters</w:t>
      </w:r>
    </w:p>
    <w:p>
      <w:pPr>
        <w:spacing w:after="140" w:line="276"/>
        <w:jc w:val="both"/>
      </w:pPr>
      <w:r>
        <w:rPr>
          <w:rFonts w:ascii="Calibri" w:cs="Calibri" w:eastAsia="Calibri" w:hAnsi="Calibri"/>
          <w:sz w:val="22"/>
          <w:szCs w:val="22"/>
        </w:rPr>
        <w:t xml:space="preserve">Papua New Guinea is, in a formal sense, one of the least protected of the world’s great forest nations, and in a substantive sense one of the best: it still holds one of the largest expanses of intact tropical forest on Earth, the great majority of it on land its people have never surrendered. Roughly </w:t>
      </w:r>
      <w:r>
        <w:rPr>
          <w:rFonts w:ascii="Calibri" w:cs="Calibri" w:eastAsia="Calibri" w:hAnsi="Calibri"/>
          <w:b/>
          <w:bCs/>
          <w:sz w:val="22"/>
          <w:szCs w:val="22"/>
        </w:rPr>
        <w:t xml:space="preserve">97 per cent of its land is held under customary tenure</w:t>
      </w:r>
      <w:r>
        <w:rPr>
          <w:rFonts w:ascii="Calibri" w:cs="Calibri" w:eastAsia="Calibri" w:hAnsi="Calibri"/>
          <w:sz w:val="22"/>
          <w:szCs w:val="22"/>
        </w:rPr>
        <w:t xml:space="preserve"> (Sekhran 1996), and that extensive standing forest is, in good part, a consequence of that ownership rather than of formal protection. Almost every decision about whether a forest stands or falls rests not with the state but with the clans and families who own it. The country therefore cannot conserve by decree. It can only conserve by consent. That has shaped every attempt to protect nature here for the past half-century, and it is what this symposium exists to confront.</w:t>
      </w:r>
    </w:p>
    <w:p>
      <w:pPr>
        <w:spacing w:after="140" w:line="276"/>
        <w:jc w:val="both"/>
      </w:pPr>
      <w:r>
        <w:rPr>
          <w:rFonts w:ascii="Calibri" w:cs="Calibri" w:eastAsia="Calibri" w:hAnsi="Calibri"/>
          <w:sz w:val="22"/>
          <w:szCs w:val="22"/>
        </w:rPr>
        <w:t xml:space="preserve">The Kunming–Montreal Global Biodiversity Framework asks every country to bring 30 per cent of its land and sea under effective conservation by 2030 — Target 3, the commitment now widely known as 30x30 (IUCN 2023). For a state that owns almost none of its own land, this is not a target that can be met by drawing new lines on a map. It requires the willing, informed and lasting consent of hundreds of thousands of customary owners. Understanding why some past attempts to win that consent failed, and why a small number have begun to succeed, is the most practical preparation possible for the conversation ahead.</w:t>
      </w:r>
    </w:p>
    <w:p>
      <w:pPr>
        <w:spacing w:after="140" w:line="276"/>
        <w:jc w:val="both"/>
      </w:pPr>
      <w:r>
        <w:rPr>
          <w:rFonts w:ascii="Calibri" w:cs="Calibri" w:eastAsia="Calibri" w:hAnsi="Calibri"/>
          <w:sz w:val="22"/>
          <w:szCs w:val="22"/>
        </w:rPr>
        <w:t xml:space="preserve">This paper traces conservation in Papua New Guinea as a sequence of overlapping waves. Each was led, in its day, by international conservation thinking, and each broke onto the same distinctive shore — a country whose land belongs to its people rather than its state. The waves carried different theories of how nature might be protected: that protection happened as a by-product of how people already lived; that it could be imposed by the state; that it could be purchased through development; and, most recently, that it might be built on consent. They are not tidy successive eras — each left sediment that the next built upon or around, and elements of all four are visible in the field today. Read this way, Papua New Guinea’s experience is a local instance of a global shift — from the exclusionary “fortress” model, through community-based development, towards a rights-based paradigm that puts local people first (Phillips 2003) — refracted, at every turn, through the fact of customary ownership. The purpose here is not to settle the argument but to be candid about past successes and failures, so that the symposium can turn to the harder question of how to move forward — and to do so with Papua New Guinean examples, several of them from Oro Province itself.</w:t>
      </w:r>
    </w:p>
    <w:p>
      <w:pPr>
        <w:spacing w:after="140" w:line="276"/>
        <w:jc w:val="both"/>
      </w:pPr>
      <w:r>
        <w:rPr>
          <w:rFonts w:ascii="Calibri" w:cs="Calibri" w:eastAsia="Calibri" w:hAnsi="Calibri"/>
          <w:b/>
          <w:bCs/>
          <w:sz w:val="22"/>
          <w:szCs w:val="22"/>
        </w:rPr>
        <w:t xml:space="preserve">A note on precedent. </w:t>
      </w:r>
      <w:r>
        <w:rPr>
          <w:rFonts w:ascii="Calibri" w:cs="Calibri" w:eastAsia="Calibri" w:hAnsi="Calibri"/>
          <w:sz w:val="22"/>
          <w:szCs w:val="22"/>
        </w:rPr>
        <w:t xml:space="preserve">In September 1997, conservation practitioners gathered at Motupore Island to compare, candidly, what was and was not working. The proceedings — </w:t>
      </w:r>
      <w:r>
        <w:rPr>
          <w:rFonts w:ascii="Calibri" w:cs="Calibri" w:eastAsia="Calibri" w:hAnsi="Calibri"/>
          <w:i/>
          <w:iCs/>
          <w:sz w:val="22"/>
          <w:szCs w:val="22"/>
        </w:rPr>
        <w:t xml:space="preserve">The Motupore Conference: ICAD Practitioners’ Views from the Field</w:t>
      </w:r>
      <w:r>
        <w:rPr>
          <w:rFonts w:ascii="Calibri" w:cs="Calibri" w:eastAsia="Calibri" w:hAnsi="Calibri"/>
          <w:sz w:val="22"/>
          <w:szCs w:val="22"/>
        </w:rPr>
        <w:t xml:space="preserve"> (Saulei and Ellis 1997) — remain one of the frankest records of practice this country has produced. This symposium stands in that tradition, and draws on Motupore’s testimony throughout.</w:t>
      </w:r>
    </w:p>
    <w:p>
      <w:pPr>
        <w:spacing w:after="140" w:line="276"/>
        <w:jc w:val="both"/>
      </w:pPr>
      <w:r>
        <w:rPr>
          <w:rFonts w:ascii="Calibri" w:cs="Calibri" w:eastAsia="Calibri" w:hAnsi="Calibri"/>
          <w:b/>
          <w:bCs/>
          <w:sz w:val="22"/>
          <w:szCs w:val="22"/>
        </w:rPr>
        <w:t xml:space="preserve">A note on scope, and on a word. </w:t>
      </w:r>
      <w:r>
        <w:rPr>
          <w:rFonts w:ascii="Calibri" w:cs="Calibri" w:eastAsia="Calibri" w:hAnsi="Calibri"/>
          <w:sz w:val="22"/>
          <w:szCs w:val="22"/>
        </w:rPr>
        <w:t xml:space="preserve">This paper concerns terrestrial conservation; Papua New Guinea’s marine and coastal conservation — including the locally managed marine areas among Melanesia’s real successes — is a parallel story beyond its scope. It also uses the word </w:t>
      </w:r>
      <w:r>
        <w:rPr>
          <w:rFonts w:ascii="Calibri" w:cs="Calibri" w:eastAsia="Calibri" w:hAnsi="Calibri"/>
          <w:i/>
          <w:iCs/>
          <w:sz w:val="22"/>
          <w:szCs w:val="22"/>
        </w:rPr>
        <w:t xml:space="preserve">conservation</w:t>
      </w:r>
      <w:r>
        <w:rPr>
          <w:rFonts w:ascii="Calibri" w:cs="Calibri" w:eastAsia="Calibri" w:hAnsi="Calibri"/>
          <w:sz w:val="22"/>
          <w:szCs w:val="22"/>
        </w:rPr>
        <w:t xml:space="preserve"> throughout without ever grounding it — a definition that a community, a practitioner and a donor would each recognise as the same thing. That absence is not an oversight but a live problem, and settling it is, this paper will argue, the first task the symposium must take up (Section 6).</w:t>
      </w:r>
    </w:p>
    <w:p>
      <w:pPr>
        <w:spacing w:after="40" w:before="160"/>
        <w:jc w:val="center"/>
      </w:pPr>
      <w:r>
        <w:drawing>
          <wp:inline distT="0" distB="0" distL="0" distR="0">
            <wp:extent cx="60579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57900" cy="3476625"/>
                    </a:xfrm>
                    <a:prstGeom prst="rect">
                      <a:avLst/>
                    </a:prstGeom>
                  </pic:spPr>
                </pic:pic>
              </a:graphicData>
            </a:graphic>
          </wp:inline>
        </w:drawing>
      </w:r>
    </w:p>
    <w:p>
      <w:pPr>
        <w:spacing w:after="200"/>
        <w:jc w:val="center"/>
      </w:pPr>
      <w:r>
        <w:rPr>
          <w:rFonts w:ascii="Calibri" w:cs="Calibri" w:eastAsia="Calibri" w:hAnsi="Calibri"/>
          <w:b/>
          <w:bCs/>
          <w:color w:val="444444"/>
          <w:sz w:val="18"/>
          <w:szCs w:val="18"/>
        </w:rPr>
        <w:t xml:space="preserve">Figure 1. </w:t>
      </w:r>
      <w:r>
        <w:rPr>
          <w:rFonts w:ascii="Calibri" w:cs="Calibri" w:eastAsia="Calibri" w:hAnsi="Calibri"/>
          <w:i/>
          <w:iCs/>
          <w:color w:val="444444"/>
          <w:sz w:val="18"/>
          <w:szCs w:val="18"/>
        </w:rPr>
        <w:t xml:space="preserve">The four waves as a process. The starting point moves from a protected area chosen on an outsider’s biodiversity map (Waves 2–3) to one that begins with a community’s own interest (Wave 4); and the outcome deepens from a bare designation, through one with benefits, to an area under durable local management.</w:t>
      </w:r>
    </w:p>
    <w:p>
      <w:pPr>
        <w:pStyle w:val="Heading1"/>
        <w:spacing w:after="140" w:before="280"/>
      </w:pPr>
      <w:r>
        <w:rPr>
          <w:rFonts w:ascii="Calibri" w:cs="Calibri" w:eastAsia="Calibri" w:hAnsi="Calibri"/>
          <w:b/>
          <w:bCs/>
          <w:color w:val="1F5C2E"/>
          <w:sz w:val="30"/>
          <w:szCs w:val="30"/>
        </w:rPr>
        <w:t xml:space="preserve">2.  Wave One — Conservation by circumstance</w:t>
      </w:r>
    </w:p>
    <w:p>
      <w:pPr>
        <w:spacing w:after="140" w:line="276"/>
        <w:jc w:val="both"/>
      </w:pPr>
      <w:r>
        <w:rPr>
          <w:rFonts w:ascii="Calibri" w:cs="Calibri" w:eastAsia="Calibri" w:hAnsi="Calibri"/>
          <w:sz w:val="22"/>
          <w:szCs w:val="22"/>
        </w:rPr>
        <w:t xml:space="preserve">Before sustained outside contact, the forests of New Guinea were, by most measures, intact. It is tempting to read that intactness as evidence of a deliberate conservation ethic, and a good deal of well-meaning policy has done exactly that. The evidence does not support it. As Sekhran (1996) and Bulmer (1982) argued, what looked like conservation was for the most part </w:t>
      </w:r>
      <w:r>
        <w:rPr>
          <w:rFonts w:ascii="Calibri" w:cs="Calibri" w:eastAsia="Calibri" w:hAnsi="Calibri"/>
          <w:b/>
          <w:bCs/>
          <w:sz w:val="22"/>
          <w:szCs w:val="22"/>
        </w:rPr>
        <w:t xml:space="preserve">contextually functional rather than intentionally conservationist</w:t>
      </w:r>
      <w:r>
        <w:rPr>
          <w:rFonts w:ascii="Calibri" w:cs="Calibri" w:eastAsia="Calibri" w:hAnsi="Calibri"/>
          <w:sz w:val="22"/>
          <w:szCs w:val="22"/>
        </w:rPr>
        <w:t xml:space="preserve">. Low population densities, a subsistence economy without commercial outlets for timber or wildlife, and the hard territorial discipline of inter-clan relations — including the demographic weight of warfare — together produced a landscape that changed slowly. Forests persisted because the pressures that now consume them did not yet exist.</w:t>
      </w:r>
    </w:p>
    <w:p>
      <w:pPr>
        <w:spacing w:after="140" w:line="276"/>
        <w:jc w:val="both"/>
      </w:pPr>
      <w:r>
        <w:rPr>
          <w:rFonts w:ascii="Calibri" w:cs="Calibri" w:eastAsia="Calibri" w:hAnsi="Calibri"/>
          <w:sz w:val="22"/>
          <w:szCs w:val="22"/>
        </w:rPr>
        <w:t xml:space="preserve">This distinction matters for reasons that are practical, not merely academic. Customary practices such as reserved sacred groves, seasonal taboos and rotational garden fallows did, and still do, carry real ecological weight. But they evolved to sustain a way of life, not to hold biodiversity at a target level, and the conditions that made them effective — small populations, no cash economy, enforced territorial limits — have largely gone. Filer (2004a) makes the sharper point that the country’s forests are indeed the product of indigenous resource-management regimes refined over forty thousand years, yet warns against collapsing that long history into a claim that pre-contact practice can simply be reactivated to deliver modern conservation outcomes.</w:t>
      </w:r>
    </w:p>
    <w:p>
      <w:pPr>
        <w:spacing w:after="140" w:line="276"/>
        <w:jc w:val="both"/>
      </w:pPr>
      <w:r>
        <w:rPr>
          <w:rFonts w:ascii="Calibri" w:cs="Calibri" w:eastAsia="Calibri" w:hAnsi="Calibri"/>
          <w:sz w:val="22"/>
          <w:szCs w:val="22"/>
        </w:rPr>
        <w:t xml:space="preserve">The lesson of Wave One is double-edged. Customary knowledge and institutions are genuine assets that any credible approach must build on; but romanticising them — treating ‘traditional’ society as a conservation model waiting to be switched back on — misreads the past. The task is not to restore an imagined equilibrium but to construct a new one under conditions of cash, roads, population growth and logging that the old one never faced.</w:t>
      </w:r>
    </w:p>
    <w:p>
      <w:pPr>
        <w:pStyle w:val="Heading1"/>
        <w:spacing w:after="140" w:before="280"/>
      </w:pPr>
      <w:r>
        <w:rPr>
          <w:rFonts w:ascii="Calibri" w:cs="Calibri" w:eastAsia="Calibri" w:hAnsi="Calibri"/>
          <w:b/>
          <w:bCs/>
          <w:color w:val="1F5C2E"/>
          <w:sz w:val="30"/>
          <w:szCs w:val="30"/>
        </w:rPr>
        <w:t xml:space="preserve">3.  Wave Two — Protected areas by imposition (1970s–1990s)</w:t>
      </w:r>
    </w:p>
    <w:p>
      <w:pPr>
        <w:spacing w:after="140" w:line="276"/>
        <w:jc w:val="both"/>
      </w:pPr>
      <w:r>
        <w:rPr>
          <w:rFonts w:ascii="Calibri" w:cs="Calibri" w:eastAsia="Calibri" w:hAnsi="Calibri"/>
          <w:sz w:val="22"/>
          <w:szCs w:val="22"/>
        </w:rPr>
        <w:t xml:space="preserve">The first modern conservation wave arrived with the state. From the 1970s, government established national parks and reserves on the classic international model: land set aside, managed by an agency, with people held at the boundary. On customary land the model contained a contradiction it could never resolve: the state owned almost none of the land it wished to protect, so its parks were either small islands on alienated land or depended on customary owners given little reason to cooperate and often not meaningfully consulted. Exclusion from the demarcation of areas the community still owned bred resentment, and resentment bred the very degradation the parks were meant to prevent.</w:t>
      </w:r>
    </w:p>
    <w:p>
      <w:pPr>
        <w:spacing w:after="140" w:line="276"/>
        <w:jc w:val="both"/>
      </w:pPr>
      <w:r>
        <w:rPr>
          <w:rFonts w:ascii="Calibri" w:cs="Calibri" w:eastAsia="Calibri" w:hAnsi="Calibri"/>
          <w:sz w:val="22"/>
          <w:szCs w:val="22"/>
        </w:rPr>
        <w:t xml:space="preserve">Papua New Guinea’s legislators recognised the problem early and legislated a different path. The Wildlife Management Area (WMA), established under the Fauna (Protection and Control) Act, was a deliberately different instrument: it left ownership and management authority with customary landowners, who set their own rules through a management committee. As Sekhran (1996) observed, the WMA was an attempt to build conservation on customary tenure rather than against it — an idea decades ahead of its international moment, even where implementation later faltered.</w:t>
      </w:r>
    </w:p>
    <w:p>
      <w:pPr>
        <w:spacing w:after="140" w:line="276"/>
        <w:jc w:val="both"/>
      </w:pPr>
      <w:r>
        <w:rPr>
          <w:rFonts w:ascii="Calibri" w:cs="Calibri" w:eastAsia="Calibri" w:hAnsi="Calibri"/>
          <w:sz w:val="22"/>
          <w:szCs w:val="22"/>
        </w:rPr>
        <w:t xml:space="preserve">At Independence in 1975, the Constitution embedded the same tension in the country’s foundations. Its Fourth National Goal commits the nation to conserve its natural resources and environment for the collective benefit of all and for future generations; the same constitutional order entrenches customary land ownership over the great majority of the country — the figure is commonly cited as about 97 per cent. Conservation and customary tenure were written into the national project together, as partners and as a problem to be worked out in practice.</w:t>
      </w:r>
    </w:p>
    <w:p>
      <w:pPr>
        <w:spacing w:after="140" w:line="276"/>
        <w:jc w:val="both"/>
      </w:pPr>
      <w:r>
        <w:rPr>
          <w:rFonts w:ascii="Calibri" w:cs="Calibri" w:eastAsia="Calibri" w:hAnsi="Calibri"/>
          <w:sz w:val="22"/>
          <w:szCs w:val="22"/>
        </w:rPr>
        <w:t xml:space="preserve">By the mid-1990s the arithmetic of imposition was plain. Sekhran (1996) records that some </w:t>
      </w:r>
      <w:r>
        <w:rPr>
          <w:rFonts w:ascii="Calibri" w:cs="Calibri" w:eastAsia="Calibri" w:hAnsi="Calibri"/>
          <w:b/>
          <w:bCs/>
          <w:sz w:val="22"/>
          <w:szCs w:val="22"/>
        </w:rPr>
        <w:t xml:space="preserve">13,000 square kilometres — about 2.8 per cent of the land area — held designated protected-area status</w:t>
      </w:r>
      <w:r>
        <w:rPr>
          <w:rFonts w:ascii="Calibri" w:cs="Calibri" w:eastAsia="Calibri" w:hAnsi="Calibri"/>
          <w:sz w:val="22"/>
          <w:szCs w:val="22"/>
        </w:rPr>
        <w:t xml:space="preserve">, and that most of these areas were too small to be ecologically viable. Nor was there money to manage them: gazettal conferred a status but rarely a budget, so most areas existed on paper without the recurrent funding that active management requires. This was no passing impression. A 1999 review had found that 89 per cent of the country’s protected areas had no or minimal management structure, and the 2006 assessment using WWF’s Rapid Assessment and Prioritisation of Protected Area Management (RAPPAM) methodology confirmed a system that was, in effect, </w:t>
      </w:r>
      <w:r>
        <w:rPr>
          <w:rFonts w:ascii="Calibri" w:cs="Calibri" w:eastAsia="Calibri" w:hAnsi="Calibri"/>
          <w:i/>
          <w:iCs/>
          <w:sz w:val="22"/>
          <w:szCs w:val="22"/>
        </w:rPr>
        <w:t xml:space="preserve">not being managed</w:t>
      </w:r>
      <w:r>
        <w:rPr>
          <w:rFonts w:ascii="Calibri" w:cs="Calibri" w:eastAsia="Calibri" w:hAnsi="Calibri"/>
          <w:sz w:val="22"/>
          <w:szCs w:val="22"/>
        </w:rPr>
        <w:t xml:space="preserve">: existing protected areas “were not working”, logging and mining concessions were being declared over the top of them, and no resources were being allocated to their management (Chatterton et al. 2006). Two decades of the state-led model had produced a scattering of paper parks and a hard lesson: on customary land, protection that is imposed rather than owned — and unfunded once declared — does not hold.</w:t>
      </w:r>
    </w:p>
    <w:p>
      <w:pPr>
        <w:spacing w:after="140" w:line="276"/>
        <w:jc w:val="both"/>
      </w:pPr>
      <w:r>
        <w:rPr>
          <w:rFonts w:ascii="Calibri" w:cs="Calibri" w:eastAsia="Calibri" w:hAnsi="Calibri"/>
          <w:sz w:val="22"/>
          <w:szCs w:val="22"/>
        </w:rPr>
        <w:t xml:space="preserve">This period also planted a habit of thought worth naming, because it has proved remarkably durable. When protection is achieved by drawing a boundary and gazetting it, conservation comes to be imagined as an </w:t>
      </w:r>
      <w:r>
        <w:rPr>
          <w:rFonts w:ascii="Calibri" w:cs="Calibri" w:eastAsia="Calibri" w:hAnsi="Calibri"/>
          <w:i/>
          <w:iCs/>
          <w:sz w:val="22"/>
          <w:szCs w:val="22"/>
        </w:rPr>
        <w:t xml:space="preserve">event</w:t>
      </w:r>
      <w:r>
        <w:rPr>
          <w:rFonts w:ascii="Calibri" w:cs="Calibri" w:eastAsia="Calibri" w:hAnsi="Calibri"/>
          <w:sz w:val="22"/>
          <w:szCs w:val="22"/>
        </w:rPr>
        <w:t xml:space="preserve"> — a line secured, a declaration signed — rather than as the ongoing management of a living relationship between people and land. On customary ground, where rights are exercised continuously and renegotiated across generations, a conservation area that is treated as a finished act rather than a standing commitment is already halfway to failure. That confusion between the moment of declaration and the work of management recurs in every wave that follows, and it set the stage for a wave that promised to solve the consent problem by buying it.</w:t>
      </w:r>
    </w:p>
    <w:p>
      <w:pPr>
        <w:pStyle w:val="Heading1"/>
        <w:spacing w:after="140" w:before="280"/>
      </w:pPr>
      <w:r>
        <w:rPr>
          <w:rFonts w:ascii="Calibri" w:cs="Calibri" w:eastAsia="Calibri" w:hAnsi="Calibri"/>
          <w:b/>
          <w:bCs/>
          <w:color w:val="1F5C2E"/>
          <w:sz w:val="30"/>
          <w:szCs w:val="30"/>
        </w:rPr>
        <w:t xml:space="preserve">4.  Wave Three — Conservation by transaction: the ICAD era (1986–2010s)</w:t>
      </w:r>
    </w:p>
    <w:p>
      <w:pPr>
        <w:spacing w:after="140" w:line="276"/>
        <w:jc w:val="both"/>
      </w:pPr>
      <w:r>
        <w:rPr>
          <w:rFonts w:ascii="Calibri" w:cs="Calibri" w:eastAsia="Calibri" w:hAnsi="Calibri"/>
          <w:sz w:val="22"/>
          <w:szCs w:val="22"/>
        </w:rPr>
        <w:t xml:space="preserve">The Integrated Conservation and Development Project (ICDP), known in its Papua New Guinean legal form as the Integrated Conservation and Development Area (ICAD), was introduced internationally by WWF in the mid-1980s and spread through the country in the 1990s, largely through the UNDP/GEF-funded Biodiversity Conservation and Resource Management Programme. Its logic was elegant and, on paper, irresistible. If customary owners would not conserve for nothing, then conservation would be exchanged for development: schools, aid posts, roads, ecotourism income, small enterprise. Protect the forest, and development would follow. A generation of projects was built on that bargain — Lak, Bismarck–Ramu, Crater Mountain, the Oro Butterfly Project, Kamiali, Kikori Basin and the Hunstein Range among them. Enough have now run their course that their record can be read honestly — the richest source of practical instruction this country possesses.</w:t>
      </w:r>
    </w:p>
    <w:p>
      <w:pPr>
        <w:spacing w:after="140" w:line="276"/>
        <w:jc w:val="both"/>
      </w:pPr>
      <w:r>
        <w:rPr>
          <w:rFonts w:ascii="Calibri" w:cs="Calibri" w:eastAsia="Calibri" w:hAnsi="Calibri"/>
          <w:sz w:val="22"/>
          <w:szCs w:val="22"/>
        </w:rPr>
        <w:t xml:space="preserve">Before any of these projects reached a village, a more fundamental choice had already been made: where to work. The answer came not from communities but from a map. ICAD sites were chosen for their biodiversity value as judged by outside science — a list of “priority forest areas” of “exceptional biodiversity values… under immediate threat by commercial logging”, formalised nationally in the Conservation Needs Assessment (Alcorn and Beehler 1993). Filer (2004a) named the reasoning the </w:t>
      </w:r>
      <w:r>
        <w:rPr>
          <w:rFonts w:ascii="Calibri" w:cs="Calibri" w:eastAsia="Calibri" w:hAnsi="Calibri"/>
          <w:i/>
          <w:iCs/>
          <w:sz w:val="22"/>
          <w:szCs w:val="22"/>
        </w:rPr>
        <w:t xml:space="preserve">“hotspot mentality”</w:t>
      </w:r>
      <w:r>
        <w:rPr>
          <w:rFonts w:ascii="Calibri" w:cs="Calibri" w:eastAsia="Calibri" w:hAnsi="Calibri"/>
          <w:sz w:val="22"/>
          <w:szCs w:val="22"/>
        </w:rPr>
        <w:t xml:space="preserve">: conservation money should be spent where biodiversity is most abundant and most threatened, and cooperation would then be secured, through the “handouts” of development, from whoever happened to live there. The starting point of an ICAD was thus an outsider’s biodiversity priority, not a community’s wish to conserve, so local interest had to be manufactured after the site was chosen. That single fact — conservation beginning from a map rather than from the people who owned the place — is the root from which most of the failures below grow, and the sharpest line between the ICAD era and what came after.</w:t>
      </w:r>
    </w:p>
    <w:p>
      <w:pPr>
        <w:spacing w:after="140" w:line="276"/>
        <w:jc w:val="both"/>
      </w:pPr>
      <w:r>
        <w:rPr>
          <w:rFonts w:ascii="Calibri" w:cs="Calibri" w:eastAsia="Calibri" w:hAnsi="Calibri"/>
          <w:sz w:val="22"/>
          <w:szCs w:val="22"/>
        </w:rPr>
        <w:t xml:space="preserve">It is worth pausing on the flaw at the centre of the bargain, because a Papua New Guinean review named it while the wave was still cresting. The very title of Sekhran’s (1996) paper — </w:t>
      </w:r>
      <w:r>
        <w:rPr>
          <w:rFonts w:ascii="Calibri" w:cs="Calibri" w:eastAsia="Calibri" w:hAnsi="Calibri"/>
          <w:i/>
          <w:iCs/>
          <w:sz w:val="22"/>
          <w:szCs w:val="22"/>
        </w:rPr>
        <w:t xml:space="preserve">Pursuing the ‘D’</w:t>
      </w:r>
      <w:r>
        <w:rPr>
          <w:rFonts w:ascii="Calibri" w:cs="Calibri" w:eastAsia="Calibri" w:hAnsi="Calibri"/>
          <w:sz w:val="22"/>
          <w:szCs w:val="22"/>
        </w:rPr>
        <w:t xml:space="preserve"> — points at the difficulty: the assumed link between delivering development and achieving conservation was the part that kept failing. Sekhran (1996) saw it plainly: “material incentives alone are unlikely to achieve conservation objectives”, since communities who aspire to more than a project can supply will “either sell out to the highest bidder or increase extraction… beyond sustainable levels”. Non-material, “moral” incentives were needed to reinforce the economic ones. The ICAD wave inverted that advice: it led with the money and left the meaning to look after itself.</w:t>
      </w:r>
    </w:p>
    <w:p>
      <w:pPr>
        <w:pStyle w:val="Heading2"/>
        <w:spacing w:after="100" w:before="200"/>
      </w:pPr>
      <w:r>
        <w:rPr>
          <w:rFonts w:ascii="Calibri" w:cs="Calibri" w:eastAsia="Calibri" w:hAnsi="Calibri"/>
          <w:b/>
          <w:bCs/>
          <w:color w:val="1F5C2E"/>
          <w:sz w:val="25"/>
          <w:szCs w:val="25"/>
        </w:rPr>
        <w:t xml:space="preserve">4.1  Lak, New Ireland — when logging out-runs conservation</w:t>
      </w:r>
    </w:p>
    <w:p>
      <w:pPr>
        <w:spacing w:after="140" w:line="276"/>
        <w:jc w:val="both"/>
      </w:pPr>
      <w:r>
        <w:rPr>
          <w:rFonts w:ascii="Calibri" w:cs="Calibri" w:eastAsia="Calibri" w:hAnsi="Calibri"/>
          <w:sz w:val="22"/>
          <w:szCs w:val="22"/>
        </w:rPr>
        <w:t xml:space="preserve">The Lak project in southern New Ireland is the era’s most fully documented case, evaluated at length in </w:t>
      </w:r>
      <w:r>
        <w:rPr>
          <w:rFonts w:ascii="Calibri" w:cs="Calibri" w:eastAsia="Calibri" w:hAnsi="Calibri"/>
          <w:i/>
          <w:iCs/>
          <w:sz w:val="22"/>
          <w:szCs w:val="22"/>
        </w:rPr>
        <w:t xml:space="preserve">Race for the Rainforest</w:t>
      </w:r>
      <w:r>
        <w:rPr>
          <w:rFonts w:ascii="Calibri" w:cs="Calibri" w:eastAsia="Calibri" w:hAnsi="Calibri"/>
          <w:sz w:val="22"/>
          <w:szCs w:val="22"/>
        </w:rPr>
        <w:t xml:space="preserve"> (McCallum and Sekhran 1997). Its account is unusually candid. Because Lak was an ICAD, it centred on a development alternative to logging — a community sustainable-forestry enterprise — but a commercial logging operation was already under way, and the resource base for the sustainable option “diminished rapidly” as a result. The project “turned out to be unviable and did not result in the establishment of a conservation area” (McCallum and Sekhran 1997). Conservation, offered as a slower and smaller return, simply could not out-compete the cash and speed of the chainsaw.</w:t>
      </w:r>
    </w:p>
    <w:p>
      <w:pPr>
        <w:spacing w:after="140" w:line="276"/>
        <w:jc w:val="both"/>
      </w:pPr>
      <w:r>
        <w:rPr>
          <w:rFonts w:ascii="Calibri" w:cs="Calibri" w:eastAsia="Calibri" w:hAnsi="Calibri"/>
          <w:sz w:val="22"/>
          <w:szCs w:val="22"/>
        </w:rPr>
        <w:t xml:space="preserve">The evaluators’ framing is instructive: the result was negative but the outcome positive, because the lessons were documented so thoroughly that they could travel. Chief among them — that a development inducement cannot compete with an already-open logging frontier, and that consent must be built before a project is designed, not purchased after — fed directly into the participatory method later trialled at Bismarck–Ramu.</w:t>
      </w:r>
    </w:p>
    <w:p>
      <w:pPr>
        <w:pStyle w:val="Heading2"/>
        <w:spacing w:after="100" w:before="200"/>
      </w:pPr>
      <w:r>
        <w:rPr>
          <w:rFonts w:ascii="Calibri" w:cs="Calibri" w:eastAsia="Calibri" w:hAnsi="Calibri"/>
          <w:b/>
          <w:bCs/>
          <w:color w:val="1F5C2E"/>
          <w:sz w:val="25"/>
          <w:szCs w:val="25"/>
        </w:rPr>
        <w:t xml:space="preserve">4.2  Bismarck–Ramu — from failed project to a different model</w:t>
      </w:r>
    </w:p>
    <w:p>
      <w:pPr>
        <w:spacing w:after="140" w:line="276"/>
        <w:jc w:val="both"/>
      </w:pPr>
      <w:r>
        <w:rPr>
          <w:rFonts w:ascii="Calibri" w:cs="Calibri" w:eastAsia="Calibri" w:hAnsi="Calibri"/>
          <w:sz w:val="22"/>
          <w:szCs w:val="22"/>
        </w:rPr>
        <w:t xml:space="preserve">Bismarck–Ramu began within the same programme and, in its first incarnation, embodied its characteristic errors. Filer (2000) records the founding scene with some irony: an expert task force that helicoptered into the area, “decamped… with a vague promise to return with a map”, and never came back. What made Bismarck–Ramu significant is what its practitioners did next. They abandoned the delivery-of-development template in favour of a slower method built around what they called genuine community conviction — engaging communities in deciding whether they wanted conservation at all, before anything was offered or built.</w:t>
      </w:r>
    </w:p>
    <w:p>
      <w:pPr>
        <w:spacing w:after="140" w:line="276"/>
        <w:jc w:val="both"/>
      </w:pPr>
      <w:r>
        <w:rPr>
          <w:rFonts w:ascii="Calibri" w:cs="Calibri" w:eastAsia="Calibri" w:hAnsi="Calibri"/>
          <w:sz w:val="22"/>
          <w:szCs w:val="22"/>
        </w:rPr>
        <w:t xml:space="preserve">Out of that shift came an institution rather than a project. Anderson (2005) documents how the effort gave rise to the </w:t>
      </w:r>
      <w:r>
        <w:rPr>
          <w:rFonts w:ascii="Calibri" w:cs="Calibri" w:eastAsia="Calibri" w:hAnsi="Calibri"/>
          <w:b/>
          <w:bCs/>
          <w:sz w:val="22"/>
          <w:szCs w:val="22"/>
        </w:rPr>
        <w:t xml:space="preserve">Bismarck Ramu Group (BRG)</w:t>
      </w:r>
      <w:r>
        <w:rPr>
          <w:rFonts w:ascii="Calibri" w:cs="Calibri" w:eastAsia="Calibri" w:hAnsi="Calibri"/>
          <w:sz w:val="22"/>
          <w:szCs w:val="22"/>
        </w:rPr>
        <w:t xml:space="preserve">, a Papua New Guinean organisation that broke away to pursue community partnership and self-reliance — rejecting the idea that conservation should be traded for material handouts, and centring instead on empowering communities to decide for themselves. The donor project ended; the BRG endured. It is the pivotal case: the point at which some practitioners stopped trying to buy consent and began trying to build it.</w:t>
      </w:r>
    </w:p>
    <w:p>
      <w:pPr>
        <w:pStyle w:val="Heading2"/>
        <w:spacing w:after="100" w:before="200"/>
      </w:pPr>
      <w:r>
        <w:rPr>
          <w:rFonts w:ascii="Calibri" w:cs="Calibri" w:eastAsia="Calibri" w:hAnsi="Calibri"/>
          <w:b/>
          <w:bCs/>
          <w:color w:val="1F5C2E"/>
          <w:sz w:val="25"/>
          <w:szCs w:val="25"/>
        </w:rPr>
        <w:t xml:space="preserve">4.3  Crater Mountain — participation, monitoring, and its limits</w:t>
      </w:r>
    </w:p>
    <w:p>
      <w:pPr>
        <w:spacing w:after="140" w:line="276"/>
        <w:jc w:val="both"/>
      </w:pPr>
      <w:r>
        <w:rPr>
          <w:rFonts w:ascii="Calibri" w:cs="Calibri" w:eastAsia="Calibri" w:hAnsi="Calibri"/>
          <w:sz w:val="22"/>
          <w:szCs w:val="22"/>
        </w:rPr>
        <w:t xml:space="preserve">Crater Mountain, run by the Research and Conservation Foundation with WCS and remembered as the era’s flagship, generated real innovation in community participation and monitoring, reported first-hand at Motupore (Saulei and Ellis 1997). Yet Filer (2004a) uses it to show the era’s recurring weakness: the “cooperative endeavour” often stayed superficial, each side holding a different, unspoken theory of what it was for. Communities read the project as another kind of developer — a source of goods; staff read it as a shared mission. When the goods slowed, so did the cooperation.</w:t>
      </w:r>
    </w:p>
    <w:p>
      <w:pPr>
        <w:pStyle w:val="Heading2"/>
        <w:spacing w:after="100" w:before="200"/>
      </w:pPr>
      <w:r>
        <w:rPr>
          <w:rFonts w:ascii="Calibri" w:cs="Calibri" w:eastAsia="Calibri" w:hAnsi="Calibri"/>
          <w:b/>
          <w:bCs/>
          <w:color w:val="1F5C2E"/>
          <w:sz w:val="25"/>
          <w:szCs w:val="25"/>
        </w:rPr>
        <w:t xml:space="preserve">4.4  The Oro Butterfly Project — a local case, in this province</w:t>
      </w:r>
    </w:p>
    <w:p>
      <w:pPr>
        <w:spacing w:after="140" w:line="276"/>
        <w:jc w:val="both"/>
      </w:pPr>
      <w:r>
        <w:rPr>
          <w:rFonts w:ascii="Calibri" w:cs="Calibri" w:eastAsia="Calibri" w:hAnsi="Calibri"/>
          <w:sz w:val="22"/>
          <w:szCs w:val="22"/>
        </w:rPr>
        <w:t xml:space="preserve">No example will be closer to this symposium’s participants than the Oro Butterfly Project, reported at Motupore by two of its own officers, Koneha and Tambari (1997). Established in 1991 by the Nature Conservation Branch of the Department of Environment and Conservation, and incorporated from 1995 with the Oro Provincial Government and AusAID, its object was to sustain a viable population of the Queen Alexandra’s Birdwing Butterfly — the world’s largest butterfly, found only in Oro Province and carried on the provincial flag — in its natural habitat on the Popondetta Plains and the Managalas Plateau — the same landscape in which the Managalas Conservation Area would later be gazetted.</w:t>
      </w:r>
    </w:p>
    <w:p>
      <w:pPr>
        <w:spacing w:after="140" w:line="276"/>
        <w:jc w:val="both"/>
      </w:pPr>
      <w:r>
        <w:rPr>
          <w:rFonts w:ascii="Calibri" w:cs="Calibri" w:eastAsia="Calibri" w:hAnsi="Calibri"/>
          <w:sz w:val="22"/>
          <w:szCs w:val="22"/>
        </w:rPr>
        <w:t xml:space="preserve">Its record is a compact anatomy of the whole ICAD wave. On the </w:t>
      </w:r>
      <w:r>
        <w:rPr>
          <w:rFonts w:ascii="Calibri" w:cs="Calibri" w:eastAsia="Calibri" w:hAnsi="Calibri"/>
          <w:b/>
          <w:bCs/>
          <w:sz w:val="22"/>
          <w:szCs w:val="22"/>
        </w:rPr>
        <w:t xml:space="preserve">success</w:t>
      </w:r>
      <w:r>
        <w:rPr>
          <w:rFonts w:ascii="Calibri" w:cs="Calibri" w:eastAsia="Calibri" w:hAnsi="Calibri"/>
          <w:sz w:val="22"/>
          <w:szCs w:val="22"/>
        </w:rPr>
        <w:t xml:space="preserve"> side, Koneha and Tambari (1997) describe tangible, locally-valued gains: an ecotourism guesthouse funded for one landowner, a water well for another, small cash allowances for twelve “landowner conservationists” who monitored the butterfly and reported at six-monthly workshops, and enterprise experiments to build alternative income. On the </w:t>
      </w:r>
      <w:r>
        <w:rPr>
          <w:rFonts w:ascii="Calibri" w:cs="Calibri" w:eastAsia="Calibri" w:hAnsi="Calibri"/>
          <w:b/>
          <w:bCs/>
          <w:sz w:val="22"/>
          <w:szCs w:val="22"/>
        </w:rPr>
        <w:t xml:space="preserve">failure</w:t>
      </w:r>
      <w:r>
        <w:rPr>
          <w:rFonts w:ascii="Calibri" w:cs="Calibri" w:eastAsia="Calibri" w:hAnsi="Calibri"/>
          <w:sz w:val="22"/>
          <w:szCs w:val="22"/>
        </w:rPr>
        <w:t xml:space="preserve"> side, they are equally frank: the project could not fund guesthouses for every owner in the ‘hot spot’ without becoming unviable; land-tenure disputes had to be resolved by the parties before the project could even engage; manpower to monitor the butterfly was chronically short; and, most tellingly, a </w:t>
      </w:r>
      <w:r>
        <w:rPr>
          <w:rFonts w:ascii="Calibri" w:cs="Calibri" w:eastAsia="Calibri" w:hAnsi="Calibri"/>
          <w:i/>
          <w:iCs/>
          <w:sz w:val="22"/>
          <w:szCs w:val="22"/>
        </w:rPr>
        <w:t xml:space="preserve">“cargo cult mentality”</w:t>
      </w:r>
      <w:r>
        <w:rPr>
          <w:rFonts w:ascii="Calibri" w:cs="Calibri" w:eastAsia="Calibri" w:hAnsi="Calibri"/>
          <w:sz w:val="22"/>
          <w:szCs w:val="22"/>
        </w:rPr>
        <w:t xml:space="preserve"> took hold on the Managalas Plateau, where the project was imagined as a multi-national operation that ought to deliver large-scale investment overnight. The mismatch between what a conservation project could realistically provide and what a development bargain had led people to expect is the single thread that runs through every case in this section.</w:t>
      </w:r>
    </w:p>
    <w:p>
      <w:pPr>
        <w:pStyle w:val="Heading2"/>
        <w:spacing w:after="100" w:before="200"/>
      </w:pPr>
      <w:r>
        <w:rPr>
          <w:rFonts w:ascii="Calibri" w:cs="Calibri" w:eastAsia="Calibri" w:hAnsi="Calibri"/>
          <w:b/>
          <w:bCs/>
          <w:color w:val="1F5C2E"/>
          <w:sz w:val="25"/>
          <w:szCs w:val="25"/>
        </w:rPr>
        <w:t xml:space="preserve">4.5  Kamiali and the common pattern of failure</w:t>
      </w:r>
    </w:p>
    <w:p>
      <w:pPr>
        <w:spacing w:after="140" w:line="276"/>
        <w:jc w:val="both"/>
      </w:pPr>
      <w:r>
        <w:rPr>
          <w:rFonts w:ascii="Calibri" w:cs="Calibri" w:eastAsia="Calibri" w:hAnsi="Calibri"/>
          <w:sz w:val="22"/>
          <w:szCs w:val="22"/>
        </w:rPr>
        <w:t xml:space="preserve">The Kamiali experience in Morobe (Zibe-Kokino and Girard 1997) rounds out a picture whose regularities are by now unmistakable. Across the cases the same mechanisms recur: development inducements bred cargo-style expectations no project could satisfy; conservation returns could not out-compete timber royalties (Filer 2004a); cooperation was often superficial and mutually misunderstood; communities slid into dependency; and younger people, drawn towards cash and away from custom, were alienated from both.</w:t>
      </w:r>
    </w:p>
    <w:p>
      <w:pPr>
        <w:spacing w:after="140" w:line="276"/>
        <w:jc w:val="both"/>
      </w:pPr>
      <w:r>
        <w:rPr>
          <w:rFonts w:ascii="Calibri" w:cs="Calibri" w:eastAsia="Calibri" w:hAnsi="Calibri"/>
          <w:sz w:val="22"/>
          <w:szCs w:val="22"/>
        </w:rPr>
        <w:t xml:space="preserve">Vojtech Novotny (2010) gave the pattern its most uncomfortable formulation, in a paper whose title says almost everything: “Why Forest Dwellers Prefer Loggers to Conservationists.” His point is not that communities do not value their forests, but that without a competitive alternative they will rationally take the logger who pays now over the conservationist who promises later. His remedy — direct payments, a </w:t>
      </w:r>
      <w:r>
        <w:rPr>
          <w:rFonts w:ascii="Calibri" w:cs="Calibri" w:eastAsia="Calibri" w:hAnsi="Calibri"/>
          <w:i/>
          <w:iCs/>
          <w:sz w:val="22"/>
          <w:szCs w:val="22"/>
        </w:rPr>
        <w:t xml:space="preserve">conservation royalty</w:t>
      </w:r>
      <w:r>
        <w:rPr>
          <w:rFonts w:ascii="Calibri" w:cs="Calibri" w:eastAsia="Calibri" w:hAnsi="Calibri"/>
          <w:sz w:val="22"/>
          <w:szCs w:val="22"/>
        </w:rPr>
        <w:t xml:space="preserve"> that meets the opportunity cost of foregone logging — reframes the problem as one of honest competition rather than persuasion, and points directly at the financing question this symposium will have to answer.</w:t>
      </w:r>
    </w:p>
    <w:p>
      <w:pPr>
        <w:spacing w:after="140" w:line="276"/>
        <w:jc w:val="both"/>
      </w:pPr>
      <w:r>
        <w:rPr>
          <w:rFonts w:ascii="Calibri" w:cs="Calibri" w:eastAsia="Calibri" w:hAnsi="Calibri"/>
          <w:sz w:val="22"/>
          <w:szCs w:val="22"/>
        </w:rPr>
        <w:t xml:space="preserve">Papua New Guinea’s disappointment was not unique. By the time the ICAD wave crested, conservation scholarship globally had conceded that the celebrated “win–win” of conservation and development was an assumption, not a demonstrated result; Fisher and colleagues (2008), in a landmark IUCN synthesis, warned that trade-offs are real and their costs too often “borne by the” local poor. The local cases above are less a record of Papua New Guinean failure than a well-documented chapter in a worldwide learning curve.</w:t>
      </w:r>
    </w:p>
    <w:p>
      <w:pPr>
        <w:spacing w:after="140" w:line="276"/>
        <w:jc w:val="both"/>
      </w:pPr>
      <w:r>
        <w:rPr>
          <w:rFonts w:ascii="Calibri" w:cs="Calibri" w:eastAsia="Calibri" w:hAnsi="Calibri"/>
          <w:b/>
          <w:bCs/>
          <w:sz w:val="22"/>
          <w:szCs w:val="22"/>
        </w:rPr>
        <w:t xml:space="preserve">A boundary worth drawing. </w:t>
      </w:r>
      <w:r>
        <w:rPr>
          <w:rFonts w:ascii="Calibri" w:cs="Calibri" w:eastAsia="Calibri" w:hAnsi="Calibri"/>
          <w:sz w:val="22"/>
          <w:szCs w:val="22"/>
        </w:rPr>
        <w:t xml:space="preserve">It should be stated plainly, because it is often blurred: the Managalas Conservation Area is </w:t>
      </w:r>
      <w:r>
        <w:rPr>
          <w:rFonts w:ascii="Calibri" w:cs="Calibri" w:eastAsia="Calibri" w:hAnsi="Calibri"/>
          <w:b/>
          <w:bCs/>
          <w:sz w:val="22"/>
          <w:szCs w:val="22"/>
        </w:rPr>
        <w:t xml:space="preserve">not</w:t>
      </w:r>
      <w:r>
        <w:rPr>
          <w:rFonts w:ascii="Calibri" w:cs="Calibri" w:eastAsia="Calibri" w:hAnsi="Calibri"/>
          <w:sz w:val="22"/>
          <w:szCs w:val="22"/>
        </w:rPr>
        <w:t xml:space="preserve"> an ICAD. It did not arise from a donor project offering development in exchange for protection. It was built under the Conservation Areas Act through a consent process that preceded, rather than followed, any project design — which places it in the wave described next, not this one. The distinction is temporal as well as legal: the Oro Conservation Project of the 1990s did not itself gazette anything; Managalas was gazetted only in 2017, two decades later — a reminder that on customary land secure conservation is the slow outcome of a consent process, not the deliverable of a project cycle.</w:t>
      </w:r>
    </w:p>
    <w:p>
      <w:pPr>
        <w:pStyle w:val="Heading1"/>
        <w:spacing w:after="140" w:before="280"/>
      </w:pPr>
      <w:r>
        <w:rPr>
          <w:rFonts w:ascii="Calibri" w:cs="Calibri" w:eastAsia="Calibri" w:hAnsi="Calibri"/>
          <w:b/>
          <w:bCs/>
          <w:color w:val="1F5C2E"/>
          <w:sz w:val="30"/>
          <w:szCs w:val="30"/>
        </w:rPr>
        <w:t xml:space="preserve">5.  Wave Four — Towards conservation by consent (2009–present)</w:t>
      </w:r>
    </w:p>
    <w:p>
      <w:pPr>
        <w:spacing w:after="140" w:line="276"/>
        <w:jc w:val="both"/>
      </w:pPr>
      <w:r>
        <w:rPr>
          <w:rFonts w:ascii="Calibri" w:cs="Calibri" w:eastAsia="Calibri" w:hAnsi="Calibri"/>
          <w:sz w:val="22"/>
          <w:szCs w:val="22"/>
        </w:rPr>
        <w:t xml:space="preserve">The current wave is defined less by a new technique than by an inverted sequence. Where the ICAD offered development first and hoped consent would follow, the emerging model treats consent as the foundation on which everything else is built — and it is being carried, increasingly, by Papua New Guinean institutions rather than foreign projects. In practice it begins with an act of communication: telling communities, broadly and without steering, that conservation is an option they may choose for their own land — and then letting those who are interested come forward, rather than selecting them from a map. Three landmarks mark the shift.</w:t>
      </w:r>
    </w:p>
    <w:p>
      <w:pPr>
        <w:spacing w:after="140" w:line="276"/>
        <w:jc w:val="both"/>
      </w:pPr>
      <w:r>
        <w:rPr>
          <w:rFonts w:ascii="Calibri" w:cs="Calibri" w:eastAsia="Calibri" w:hAnsi="Calibri"/>
          <w:b/>
          <w:bCs/>
          <w:sz w:val="22"/>
          <w:szCs w:val="22"/>
        </w:rPr>
        <w:t xml:space="preserve">The YUS Conservation Area</w:t>
      </w:r>
      <w:r>
        <w:rPr>
          <w:rFonts w:ascii="Calibri" w:cs="Calibri" w:eastAsia="Calibri" w:hAnsi="Calibri"/>
          <w:sz w:val="22"/>
          <w:szCs w:val="22"/>
        </w:rPr>
        <w:t xml:space="preserve"> (Morobe), gazetted in 2009 as the country’s first Conservation Area under that instrument, showed that a durable, community-owned protected area could be assembled by long, patient consent-building led by an organisation — the Tree Kangaroo Conservation Program — embedded in the community over many years.</w:t>
      </w:r>
    </w:p>
    <w:p>
      <w:pPr>
        <w:spacing w:after="140" w:line="276"/>
        <w:jc w:val="both"/>
      </w:pPr>
      <w:r>
        <w:rPr>
          <w:rFonts w:ascii="Calibri" w:cs="Calibri" w:eastAsia="Calibri" w:hAnsi="Calibri"/>
          <w:b/>
          <w:bCs/>
          <w:sz w:val="22"/>
          <w:szCs w:val="22"/>
        </w:rPr>
        <w:t xml:space="preserve">The Managalas Conservation Area</w:t>
      </w:r>
      <w:r>
        <w:rPr>
          <w:rFonts w:ascii="Calibri" w:cs="Calibri" w:eastAsia="Calibri" w:hAnsi="Calibri"/>
          <w:sz w:val="22"/>
          <w:szCs w:val="22"/>
        </w:rPr>
        <w:t xml:space="preserve">, gazetted in 2017 under the Conservation Areas Act 1978 and covering </w:t>
      </w:r>
      <w:r>
        <w:rPr>
          <w:rFonts w:ascii="Calibri" w:cs="Calibri" w:eastAsia="Calibri" w:hAnsi="Calibri"/>
          <w:b/>
          <w:bCs/>
          <w:sz w:val="22"/>
          <w:szCs w:val="22"/>
        </w:rPr>
        <w:t xml:space="preserve">214,696 hectares</w:t>
      </w:r>
      <w:r>
        <w:rPr>
          <w:rFonts w:ascii="Calibri" w:cs="Calibri" w:eastAsia="Calibri" w:hAnsi="Calibri"/>
          <w:sz w:val="22"/>
          <w:szCs w:val="22"/>
        </w:rPr>
        <w:t xml:space="preserve"> of Oro Province, is the largest expression of this approach. It was the product of some thirty years of consent-building among the customary owners of the plateau, led by Partners with Melanesians and supported over the long term by the Rainforest Foundation Norway. Its defining feature is precisely the one the ICAD era lacked: the agreement of the landowners came first, and the legal area followed from it.</w:t>
      </w:r>
    </w:p>
    <w:p>
      <w:pPr>
        <w:spacing w:after="140" w:line="276"/>
        <w:jc w:val="both"/>
      </w:pPr>
      <w:r>
        <w:rPr>
          <w:rFonts w:ascii="Calibri" w:cs="Calibri" w:eastAsia="Calibri" w:hAnsi="Calibri"/>
          <w:b/>
          <w:bCs/>
          <w:sz w:val="22"/>
          <w:szCs w:val="22"/>
        </w:rPr>
        <w:t xml:space="preserve">Indigenous-led models</w:t>
      </w:r>
      <w:r>
        <w:rPr>
          <w:rFonts w:ascii="Calibri" w:cs="Calibri" w:eastAsia="Calibri" w:hAnsi="Calibri"/>
          <w:sz w:val="22"/>
          <w:szCs w:val="22"/>
        </w:rPr>
        <w:t xml:space="preserve"> have matured alongside these. The Mount Wilhelm–centred community conservation of MENCERTC in Simbu, recognised with a UNDP Equator Prize in 2022, and the conservation deeds advanced by WCS — voluntary, legally-binding agreements in which landowners commit their land to conservation without surrendering it into a state protected-area category — show landowners and Papua New Guinean organisations designing and holding conservation on their own terms. The conservation deed is, in a sense, the leading edge of the consent model: it sets gazettal aside and rests the whole arrangement on the owners’ recorded and enforceable agreement. Running through all of them is a quieter continuity with Wave One: the recognition, as Sheil, Boissière and Beaudoin (2015) put it, that local people are the “unseen sentinels” who actually monitor and control these landscapes, and that formal conservation succeeds only where it works through, rather than around, that local authority.</w:t>
      </w:r>
    </w:p>
    <w:p>
      <w:pPr>
        <w:spacing w:after="140" w:line="276"/>
        <w:jc w:val="both"/>
      </w:pPr>
      <w:r>
        <w:rPr>
          <w:rFonts w:ascii="Calibri" w:cs="Calibri" w:eastAsia="Calibri" w:hAnsi="Calibri"/>
          <w:sz w:val="22"/>
          <w:szCs w:val="22"/>
        </w:rPr>
        <w:t xml:space="preserve">It would be premature to call these successes. YUS and Managalas are young — gazetted in 2009 and 2017 — and their durability is unproven; the 2017 national assessment found management across the system still “patchy and problematic” (Leverington, Peterson and Peterson 2017). They are best read not as proof that the consent model works, but as the most promising evidence so far that it might.</w:t>
      </w:r>
    </w:p>
    <w:p>
      <w:pPr>
        <w:spacing w:after="140" w:line="276"/>
        <w:jc w:val="both"/>
      </w:pPr>
      <w:r>
        <w:rPr>
          <w:rFonts w:ascii="Calibri" w:cs="Calibri" w:eastAsia="Calibri" w:hAnsi="Calibri"/>
          <w:sz w:val="22"/>
          <w:szCs w:val="22"/>
        </w:rPr>
        <w:t xml:space="preserve">The legal architecture has now caught up with the ambition. The 2014 Policy on Protected Areas set the framework — five pillars for a national system — and the </w:t>
      </w:r>
      <w:r>
        <w:rPr>
          <w:rFonts w:ascii="Calibri" w:cs="Calibri" w:eastAsia="Calibri" w:hAnsi="Calibri"/>
          <w:b/>
          <w:bCs/>
          <w:sz w:val="22"/>
          <w:szCs w:val="22"/>
        </w:rPr>
        <w:t xml:space="preserve">Protected Areas Act 2024</w:t>
      </w:r>
      <w:r>
        <w:rPr>
          <w:rFonts w:ascii="Calibri" w:cs="Calibri" w:eastAsia="Calibri" w:hAnsi="Calibri"/>
          <w:sz w:val="22"/>
          <w:szCs w:val="22"/>
        </w:rPr>
        <w:t xml:space="preserve"> gave it statutory force, establishing a national Protected Area Network and a Biodiversity and Climate Fund and aligning the country with the 30x30 commitment. The gap it must close is stark. Formal protected-area coverage stood at about 2.8 per cent of the land in the mid-1990s (Sekhran 1996) and, even with YUS, Managalas and others gazetted since, remains a small fraction of the 30 per cent that Target 3 envisages for 2030. </w:t>
      </w:r>
      <w:r>
        <w:rPr>
          <w:i/>
          <w:iCs/>
          <w:color w:val="8A6D00"/>
          <w:sz w:val="20"/>
          <w:szCs w:val="20"/>
        </w:rPr>
        <w:t xml:space="preserve">[Current national coverage figure to be confirmed against CEPA / Protected Planet at finalisation.]</w:t>
      </w:r>
      <w:r>
        <w:rPr>
          <w:rFonts w:ascii="Calibri" w:cs="Calibri" w:eastAsia="Calibri" w:hAnsi="Calibri"/>
          <w:sz w:val="22"/>
          <w:szCs w:val="22"/>
        </w:rPr>
        <w:t xml:space="preserve"> The distance between 2.8 per cent and 30 per cent is not an incidental shortfall to be made up with a few more gazettals. On land that is 97 per cent customary, it is a structural challenge that can only be met one act of consent at a time.</w:t>
      </w:r>
    </w:p>
    <w:p>
      <w:pPr>
        <w:spacing w:after="140" w:line="276"/>
        <w:jc w:val="both"/>
      </w:pPr>
      <w:r>
        <w:rPr>
          <w:rFonts w:ascii="Calibri" w:cs="Calibri" w:eastAsia="Calibri" w:hAnsi="Calibri"/>
          <w:sz w:val="22"/>
          <w:szCs w:val="22"/>
        </w:rPr>
        <w:t xml:space="preserve">Coverage, in any case, is only half of what Target 3 asks. It calls for conservation that is </w:t>
      </w:r>
      <w:r>
        <w:rPr>
          <w:rFonts w:ascii="Calibri" w:cs="Calibri" w:eastAsia="Calibri" w:hAnsi="Calibri"/>
          <w:i/>
          <w:iCs/>
          <w:sz w:val="22"/>
          <w:szCs w:val="22"/>
        </w:rPr>
        <w:t xml:space="preserve">effective</w:t>
      </w:r>
      <w:r>
        <w:rPr>
          <w:rFonts w:ascii="Calibri" w:cs="Calibri" w:eastAsia="Calibri" w:hAnsi="Calibri"/>
          <w:sz w:val="22"/>
          <w:szCs w:val="22"/>
        </w:rPr>
        <w:t xml:space="preserve">, and effectiveness is precisely where the global record is weakest: Leverington and colleagues (2010), synthesising more than 8,000 assessments worldwide, found that around 40 per cent of protected areas had major management deficiencies. Papua New Guinea is no exception. The most recent national assessment — Leverington, Peterson and Peterson (2017), applying a locally adapted tracking tool (the PNG-METT) to the country’s 57 gazetted protected areas — put it starkly: “while protected areas were established on paper, their management has remained patchy and problematic”. Establishment was “by far the strongest theme, with resource management the weakest”; and most of the recommendations of the 2006 RAPPAM study had gone unimplemented, several areas having since been wholly or partly cleared and lost much of their value. That is, in current data, the clearest possible restatement of the problem this paper has traced: Papua New Guinea has become reasonably good at the </w:t>
      </w:r>
      <w:r>
        <w:rPr>
          <w:rFonts w:ascii="Calibri" w:cs="Calibri" w:eastAsia="Calibri" w:hAnsi="Calibri"/>
          <w:i/>
          <w:iCs/>
          <w:sz w:val="22"/>
          <w:szCs w:val="22"/>
        </w:rPr>
        <w:t xml:space="preserve">event</w:t>
      </w:r>
      <w:r>
        <w:rPr>
          <w:rFonts w:ascii="Calibri" w:cs="Calibri" w:eastAsia="Calibri" w:hAnsi="Calibri"/>
          <w:sz w:val="22"/>
          <w:szCs w:val="22"/>
        </w:rPr>
        <w:t xml:space="preserve"> of declaring a protected area, and remains weak at the long </w:t>
      </w:r>
      <w:r>
        <w:rPr>
          <w:rFonts w:ascii="Calibri" w:cs="Calibri" w:eastAsia="Calibri" w:hAnsi="Calibri"/>
          <w:i/>
          <w:iCs/>
          <w:sz w:val="22"/>
          <w:szCs w:val="22"/>
        </w:rPr>
        <w:t xml:space="preserve">management</w:t>
      </w:r>
      <w:r>
        <w:rPr>
          <w:rFonts w:ascii="Calibri" w:cs="Calibri" w:eastAsia="Calibri" w:hAnsi="Calibri"/>
          <w:sz w:val="22"/>
          <w:szCs w:val="22"/>
        </w:rPr>
        <w:t xml:space="preserve"> that is supposed to follow. Reaching 30x30 by adding hectares while that gap persists would enlarge the map without protecting much more forest. </w:t>
      </w:r>
    </w:p>
    <w:p>
      <w:pPr>
        <w:spacing w:after="140" w:line="276"/>
        <w:jc w:val="both"/>
      </w:pPr>
      <w:r>
        <w:rPr>
          <w:rFonts w:ascii="Calibri" w:cs="Calibri" w:eastAsia="Calibri" w:hAnsi="Calibri"/>
          <w:sz w:val="22"/>
          <w:szCs w:val="22"/>
        </w:rPr>
        <w:t xml:space="preserve">Consent, moreover, is not a signature but a relationship sustained for decades, and sustaining it costs money. Here Wave Four still shares a frontier with Wave Three: a landowner who agrees not to log has foregone a real income, and unless that opportunity cost is honestly met the agreement will erode as the ICAD bargains did. Novotny’s (2010) conservation royalty, payment for ecosystem services, and the Biodiversity and Climate Fund under the Protected Areas Act 2024 are all attempts at an answer. The unresolved question is whether any can deliver reliable, long-term finance to hundreds of thousands of owners — the difference between consent bought once and consent kept.</w:t>
      </w:r>
    </w:p>
    <w:p>
      <w:pPr>
        <w:pStyle w:val="Heading1"/>
        <w:spacing w:after="140" w:before="280"/>
      </w:pPr>
      <w:r>
        <w:rPr>
          <w:rFonts w:ascii="Calibri" w:cs="Calibri" w:eastAsia="Calibri" w:hAnsi="Calibri"/>
          <w:b/>
          <w:bCs/>
          <w:color w:val="1F5C2E"/>
          <w:sz w:val="30"/>
          <w:szCs w:val="30"/>
        </w:rPr>
        <w:t xml:space="preserve">6.  From the pathway to the questions</w:t>
      </w:r>
    </w:p>
    <w:p>
      <w:pPr>
        <w:spacing w:after="140" w:line="276"/>
        <w:jc w:val="both"/>
      </w:pPr>
      <w:r>
        <w:rPr>
          <w:rFonts w:ascii="Calibri" w:cs="Calibri" w:eastAsia="Calibri" w:hAnsi="Calibri"/>
          <w:sz w:val="22"/>
          <w:szCs w:val="22"/>
        </w:rPr>
        <w:t xml:space="preserve">The questions that follow are not abstract. They can be read straight off the Wave Four pathway in Figure 1 — a receptive community, then consensus, then a protected area under local management — because that pathway is the model this symposium is really convened to test. Each step along it raises a practical question, and one question underlies them all.</w:t>
      </w:r>
    </w:p>
    <w:p>
      <w:pPr>
        <w:spacing w:after="140" w:line="276"/>
        <w:jc w:val="both"/>
      </w:pPr>
      <w:r>
        <w:rPr>
          <w:rFonts w:ascii="Calibri" w:cs="Calibri" w:eastAsia="Calibri" w:hAnsi="Calibri"/>
          <w:b/>
          <w:bCs/>
          <w:sz w:val="22"/>
          <w:szCs w:val="22"/>
        </w:rPr>
        <w:t xml:space="preserve">Before everything — what do we actually mean by conservation? </w:t>
      </w:r>
      <w:r>
        <w:rPr>
          <w:rFonts w:ascii="Calibri" w:cs="Calibri" w:eastAsia="Calibri" w:hAnsi="Calibri"/>
          <w:sz w:val="22"/>
          <w:szCs w:val="22"/>
        </w:rPr>
        <w:t xml:space="preserve">This paper has used the word on every page without grounding it, and that is precisely the point. Conservation means very different things to a global donor, a national agency and a customary landowner, and much of the failure traced above began in that unspoken gap. Before the pathway can be walked, the parties must be sure they are describing the same thing — a definition a community, a practitioner and a donor would each recognise and accept. Arriving at it is, this paper argues, the first task of the symposium. As a starting point for that discussion — and no more than a starting point — the paper offers this: </w:t>
      </w:r>
      <w:r>
        <w:rPr>
          <w:rFonts w:ascii="Calibri" w:cs="Calibri" w:eastAsia="Calibri" w:hAnsi="Calibri"/>
          <w:b/>
          <w:bCs/>
          <w:i/>
          <w:iCs/>
          <w:sz w:val="22"/>
          <w:szCs w:val="22"/>
        </w:rPr>
        <w:t xml:space="preserve">conservation in Papua New Guinea is the deliberate and lasting care of a customary landscape by the people who own it — keeping its forests, waters and wildlife healthy and productive for generations to come — with government, non-government organisations and funders in support rather than in charge.</w:t>
      </w:r>
      <w:r>
        <w:rPr>
          <w:rFonts w:ascii="Calibri" w:cs="Calibri" w:eastAsia="Calibri" w:hAnsi="Calibri"/>
          <w:sz w:val="22"/>
          <w:szCs w:val="22"/>
        </w:rPr>
        <w:t xml:space="preserve"> Whether that is the right wording, or even the right idea, is exactly what the participants must decide.</w:t>
      </w:r>
    </w:p>
    <w:p>
      <w:pPr>
        <w:spacing w:after="140" w:line="276"/>
        <w:jc w:val="both"/>
      </w:pPr>
      <w:r>
        <w:rPr>
          <w:rFonts w:ascii="Calibri" w:cs="Calibri" w:eastAsia="Calibri" w:hAnsi="Calibri"/>
          <w:b/>
          <w:bCs/>
          <w:sz w:val="22"/>
          <w:szCs w:val="22"/>
        </w:rPr>
        <w:t xml:space="preserve">At the start of the path — how do communities learn this is an option at all? </w:t>
      </w:r>
      <w:r>
        <w:rPr>
          <w:rFonts w:ascii="Calibri" w:cs="Calibri" w:eastAsia="Calibri" w:hAnsi="Calibri"/>
          <w:sz w:val="22"/>
          <w:szCs w:val="22"/>
        </w:rPr>
        <w:t xml:space="preserve">Wave Four begins not with a chosen site but with a receptive community — and a community cannot choose an option it has never heard of. The first practical question is therefore one of communication in two directions. How do conservation practitioners get the message out, broadly and without steering, that conservation is an option available to landowners — something they may choose for their own land, on their own terms? And when a community becomes interested, how does it then approach government, NGOs and funders to register that interest and ask to hear more — is there a ‘front door’ to walk through, and who keeps it open?</w:t>
      </w:r>
    </w:p>
    <w:p>
      <w:pPr>
        <w:spacing w:after="140" w:line="276"/>
        <w:jc w:val="both"/>
      </w:pPr>
      <w:r>
        <w:rPr>
          <w:rFonts w:ascii="Calibri" w:cs="Calibri" w:eastAsia="Calibri" w:hAnsi="Calibri"/>
          <w:b/>
          <w:bCs/>
          <w:sz w:val="22"/>
          <w:szCs w:val="22"/>
        </w:rPr>
        <w:t xml:space="preserve">At the middle of the path — who decides, and how is consent kept? </w:t>
      </w:r>
      <w:r>
        <w:rPr>
          <w:rFonts w:ascii="Calibri" w:cs="Calibri" w:eastAsia="Calibri" w:hAnsi="Calibri"/>
          <w:sz w:val="22"/>
          <w:szCs w:val="22"/>
        </w:rPr>
        <w:t xml:space="preserve">Consent is not a signature but a standing relationship. Who, within a landowning community, decides — and how is genuine consensus built and then maintained across clans and generations, rather than secured from a few leaders on a single day? And which outside actors — CEPA, provincial governments, NGOs, funders — can accept a genuinely supporting role rather than a directing one?</w:t>
      </w:r>
    </w:p>
    <w:p>
      <w:pPr>
        <w:spacing w:after="140" w:line="276"/>
        <w:jc w:val="both"/>
      </w:pPr>
      <w:r>
        <w:rPr>
          <w:rFonts w:ascii="Calibri" w:cs="Calibri" w:eastAsia="Calibri" w:hAnsi="Calibri"/>
          <w:b/>
          <w:bCs/>
          <w:sz w:val="22"/>
          <w:szCs w:val="22"/>
        </w:rPr>
        <w:t xml:space="preserve">At the end of the path — from a gazetted area to a managed one. </w:t>
      </w:r>
      <w:r>
        <w:rPr>
          <w:rFonts w:ascii="Calibri" w:cs="Calibri" w:eastAsia="Calibri" w:hAnsi="Calibri"/>
          <w:sz w:val="22"/>
          <w:szCs w:val="22"/>
        </w:rPr>
        <w:t xml:space="preserve">The record is unambiguous that Papua New Guinea is far better at establishing protected areas than at sustaining them (Leverington, Peterson and Peterson 2017). So the hardest question is the last one: how does a community-owned area secure the funding, capacity, monitoring and local governance that turn a gazetted line into a place genuinely under management — and how is the opportunity cost of not logging met, reliably, across the decades that consent must last?</w:t>
      </w:r>
    </w:p>
    <w:p>
      <w:pPr>
        <w:spacing w:after="140" w:line="276"/>
        <w:jc w:val="both"/>
      </w:pPr>
      <w:r>
        <w:rPr>
          <w:rFonts w:ascii="Calibri" w:cs="Calibri" w:eastAsia="Calibri" w:hAnsi="Calibri"/>
          <w:b/>
          <w:bCs/>
          <w:sz w:val="22"/>
          <w:szCs w:val="22"/>
        </w:rPr>
        <w:t xml:space="preserve">Across the whole path — is this genuinely new, and can it scale? </w:t>
      </w:r>
      <w:r>
        <w:rPr>
          <w:rFonts w:ascii="Calibri" w:cs="Calibri" w:eastAsia="Calibri" w:hAnsi="Calibri"/>
          <w:sz w:val="22"/>
          <w:szCs w:val="22"/>
        </w:rPr>
        <w:t xml:space="preserve">Two questions hang over the entire pathway. Is it truly different from the ICAD transaction, or the same bargain in more respectful language — and what, concretely, makes consent-led conservation more durable than the development bargain it replaced? And could this path be walked not once but hundreds of times, across a customary-owned country, to approach the 30x30 target — or does reaching thirty per cent demand something the model does not yet have?</w:t>
      </w:r>
    </w:p>
    <w:p>
      <w:pPr>
        <w:spacing w:after="140" w:line="276"/>
        <w:jc w:val="both"/>
      </w:pPr>
      <w:r>
        <w:rPr>
          <w:rFonts w:ascii="Calibri" w:cs="Calibri" w:eastAsia="Calibri" w:hAnsi="Calibri"/>
          <w:sz w:val="22"/>
          <w:szCs w:val="22"/>
        </w:rPr>
        <w:t xml:space="preserve">These are not rhetorical questions; they are the working agenda. The task of the days ahead is to turn them into priorities — what must change, who must act, and in what order — and to set that down in the communiqué. The history offers no formula, but it offers something more useful than optimism: a clear record, much of it Papua New Guinean and some of it from this very province, of what has been tried, what has failed, and what — slowly, and on the owners’ terms — has begun to work.</w:t>
      </w:r>
    </w:p>
    <w:p>
      <w:pPr>
        <w:pStyle w:val="Heading1"/>
        <w:spacing w:after="140" w:before="280"/>
      </w:pPr>
      <w:r>
        <w:rPr>
          <w:rFonts w:ascii="Calibri" w:cs="Calibri" w:eastAsia="Calibri" w:hAnsi="Calibri"/>
          <w:b/>
          <w:bCs/>
          <w:color w:val="1F5C2E"/>
          <w:sz w:val="30"/>
          <w:szCs w:val="30"/>
        </w:rPr>
        <w:t xml:space="preserve">7.  A closing thought: shared problems, Papua New Guinean solutions</w:t>
      </w:r>
    </w:p>
    <w:p>
      <w:pPr>
        <w:spacing w:after="140" w:line="276"/>
        <w:jc w:val="both"/>
      </w:pPr>
      <w:r>
        <w:rPr>
          <w:rFonts w:ascii="Calibri" w:cs="Calibri" w:eastAsia="Calibri" w:hAnsi="Calibri"/>
          <w:sz w:val="22"/>
          <w:szCs w:val="22"/>
        </w:rPr>
        <w:t xml:space="preserve">It would be easy to read this history as a catalogue of local failure. It is not. The difficulties that have dogged conservation in Papua New Guinea are, for the most part, the common afflictions of protected areas the world over: </w:t>
      </w:r>
      <w:r>
        <w:rPr>
          <w:rFonts w:ascii="Calibri" w:cs="Calibri" w:eastAsia="Calibri" w:hAnsi="Calibri"/>
          <w:b/>
          <w:bCs/>
          <w:sz w:val="22"/>
          <w:szCs w:val="22"/>
        </w:rPr>
        <w:t xml:space="preserve">areas that exist on paper but are barely managed; chronic underfunding and insecure recurrent finance; too few staff and too little capacity; weak monitoring of whether values are being kept; and management that cannot keep pace with the pressures of logging, mining and agricultural expansion</w:t>
      </w:r>
      <w:r>
        <w:rPr>
          <w:rFonts w:ascii="Calibri" w:cs="Calibri" w:eastAsia="Calibri" w:hAnsi="Calibri"/>
          <w:sz w:val="22"/>
          <w:szCs w:val="22"/>
        </w:rPr>
        <w:t xml:space="preserve">. Leverington and colleagues (2010) found major management deficiencies in around 40 per cent of the world’s protected areas — the “paper park” is a global species, not a Papua New Guinean one. The country is not failing at a task others have solved; it is grappling, in acute form, with a problem conservation has not cracked anywhere.</w:t>
      </w:r>
    </w:p>
    <w:p>
      <w:pPr>
        <w:spacing w:after="140" w:line="276"/>
        <w:jc w:val="both"/>
      </w:pPr>
      <w:r>
        <w:rPr>
          <w:rFonts w:ascii="Calibri" w:cs="Calibri" w:eastAsia="Calibri" w:hAnsi="Calibri"/>
          <w:sz w:val="22"/>
          <w:szCs w:val="22"/>
        </w:rPr>
        <w:t xml:space="preserve">That should motivate rather than discourage. Because no off-the-shelf international model fits a country whose land is 97 per cent customary, Papua New Guinea cannot import a solution — and is therefore free, and obliged, to design its own. An approach that genuinely works here — securing durable landowner consent, funding the ongoing </w:t>
      </w:r>
      <w:r>
        <w:rPr>
          <w:rFonts w:ascii="Calibri" w:cs="Calibri" w:eastAsia="Calibri" w:hAnsi="Calibri"/>
          <w:i/>
          <w:iCs/>
          <w:sz w:val="22"/>
          <w:szCs w:val="22"/>
        </w:rPr>
        <w:t xml:space="preserve">management</w:t>
      </w:r>
      <w:r>
        <w:rPr>
          <w:rFonts w:ascii="Calibri" w:cs="Calibri" w:eastAsia="Calibri" w:hAnsi="Calibri"/>
          <w:sz w:val="22"/>
          <w:szCs w:val="22"/>
        </w:rPr>
        <w:t xml:space="preserve"> of a protected area rather than the one-off </w:t>
      </w:r>
      <w:r>
        <w:rPr>
          <w:rFonts w:ascii="Calibri" w:cs="Calibri" w:eastAsia="Calibri" w:hAnsi="Calibri"/>
          <w:i/>
          <w:iCs/>
          <w:sz w:val="22"/>
          <w:szCs w:val="22"/>
        </w:rPr>
        <w:t xml:space="preserve">event</w:t>
      </w:r>
      <w:r>
        <w:rPr>
          <w:rFonts w:ascii="Calibri" w:cs="Calibri" w:eastAsia="Calibri" w:hAnsi="Calibri"/>
          <w:sz w:val="22"/>
          <w:szCs w:val="22"/>
        </w:rPr>
        <w:t xml:space="preserve"> of its gazettal, and rests conservation on the authority of the people who own the land — would not only resolve Papua New Guinea’s difficulty. It would speak to the problems that beset protected areas everywhere, most of which also depend, in the end, on the people who live alongside them. In rising to its own challenge, Papua New Guinea has the chance not to catch up with global practice, but to help lead it. That is the opportunity the days ahead are meant to open.</w:t>
      </w:r>
    </w:p>
    <w:p>
      <w:pPr>
        <w:pStyle w:val="Heading1"/>
        <w:spacing w:after="140" w:before="280"/>
      </w:pPr>
      <w:r>
        <w:rPr>
          <w:rFonts w:ascii="Calibri" w:cs="Calibri" w:eastAsia="Calibri" w:hAnsi="Calibri"/>
          <w:b/>
          <w:bCs/>
          <w:color w:val="1F5C2E"/>
          <w:sz w:val="30"/>
          <w:szCs w:val="30"/>
        </w:rPr>
        <w:t xml:space="preserve">References</w:t>
      </w:r>
    </w:p>
    <w:p>
      <w:pPr>
        <w:spacing w:after="100" w:line="264"/>
        <w:ind w:left="576" w:hanging="576"/>
      </w:pPr>
      <w:r>
        <w:rPr>
          <w:rFonts w:ascii="Calibri" w:cs="Calibri" w:eastAsia="Calibri" w:hAnsi="Calibri"/>
          <w:sz w:val="20"/>
          <w:szCs w:val="20"/>
        </w:rPr>
        <w:t xml:space="preserve">Alcorn, J. B. and Beehler, B. M. (eds) (1993). </w:t>
      </w:r>
      <w:r>
        <w:rPr>
          <w:rFonts w:ascii="Calibri" w:cs="Calibri" w:eastAsia="Calibri" w:hAnsi="Calibri"/>
          <w:i/>
          <w:iCs/>
          <w:sz w:val="20"/>
          <w:szCs w:val="20"/>
        </w:rPr>
        <w:t xml:space="preserve">Papua New Guinea Conservation Needs Assessment</w:t>
      </w:r>
      <w:r>
        <w:rPr>
          <w:rFonts w:ascii="Calibri" w:cs="Calibri" w:eastAsia="Calibri" w:hAnsi="Calibri"/>
          <w:sz w:val="20"/>
          <w:szCs w:val="20"/>
        </w:rPr>
        <w:t xml:space="preserve"> (2 volumes). Washington, DC: Biodiversity Support Program.</w:t>
      </w:r>
    </w:p>
    <w:p>
      <w:pPr>
        <w:spacing w:after="100" w:line="264"/>
        <w:ind w:left="576" w:hanging="576"/>
      </w:pPr>
      <w:r>
        <w:rPr>
          <w:rFonts w:ascii="Calibri" w:cs="Calibri" w:eastAsia="Calibri" w:hAnsi="Calibri"/>
          <w:sz w:val="20"/>
          <w:szCs w:val="20"/>
        </w:rPr>
        <w:t xml:space="preserve">Anderson, T. (2005). </w:t>
      </w:r>
      <w:r>
        <w:rPr>
          <w:rFonts w:ascii="Calibri" w:cs="Calibri" w:eastAsia="Calibri" w:hAnsi="Calibri"/>
          <w:i/>
          <w:iCs/>
          <w:sz w:val="20"/>
          <w:szCs w:val="20"/>
        </w:rPr>
        <w:t xml:space="preserve">Challenging ‘integrated conservation and development’ in Papua New Guinea: the Bismarck Ramu Group</w:t>
      </w:r>
      <w:r>
        <w:rPr>
          <w:rFonts w:ascii="Calibri" w:cs="Calibri" w:eastAsia="Calibri" w:hAnsi="Calibri"/>
          <w:sz w:val="20"/>
          <w:szCs w:val="20"/>
        </w:rPr>
        <w:t xml:space="preserve">. [Full publication details to be confirmed against the source at finalisation.]</w:t>
      </w:r>
    </w:p>
    <w:p>
      <w:pPr>
        <w:spacing w:after="100" w:line="264"/>
        <w:ind w:left="576" w:hanging="576"/>
      </w:pPr>
      <w:r>
        <w:rPr>
          <w:rFonts w:ascii="Calibri" w:cs="Calibri" w:eastAsia="Calibri" w:hAnsi="Calibri"/>
          <w:sz w:val="20"/>
          <w:szCs w:val="20"/>
        </w:rPr>
        <w:t xml:space="preserve">Bulmer, R. N. H. (1982). ‘Traditional Conservation Practices in Papua New Guinea.’ In L. Morauta, J. Pernetta and W. Heaney (eds), </w:t>
      </w:r>
      <w:r>
        <w:rPr>
          <w:rFonts w:ascii="Calibri" w:cs="Calibri" w:eastAsia="Calibri" w:hAnsi="Calibri"/>
          <w:i/>
          <w:iCs/>
          <w:sz w:val="20"/>
          <w:szCs w:val="20"/>
        </w:rPr>
        <w:t xml:space="preserve">Traditional Conservation in Papua New Guinea: Implications for Today</w:t>
      </w:r>
      <w:r>
        <w:rPr>
          <w:rFonts w:ascii="Calibri" w:cs="Calibri" w:eastAsia="Calibri" w:hAnsi="Calibri"/>
          <w:sz w:val="20"/>
          <w:szCs w:val="20"/>
        </w:rPr>
        <w:t xml:space="preserve">. Boroko: Institute of Applied Social and Economic Research. (Cited via Sekhran 1996 and Filer 2004a.)</w:t>
      </w:r>
    </w:p>
    <w:p>
      <w:pPr>
        <w:spacing w:after="100" w:line="264"/>
        <w:ind w:left="576" w:hanging="576"/>
      </w:pPr>
      <w:r>
        <w:rPr>
          <w:rFonts w:ascii="Calibri" w:cs="Calibri" w:eastAsia="Calibri" w:hAnsi="Calibri"/>
          <w:sz w:val="20"/>
          <w:szCs w:val="20"/>
        </w:rPr>
        <w:t xml:space="preserve">Chatterton, P., Yamuna, R., Higgins-Zogib, L., Mitchell, N., Hall, M., Sabi, J. and Jano, W. (2006). </w:t>
      </w:r>
      <w:r>
        <w:rPr>
          <w:rFonts w:ascii="Calibri" w:cs="Calibri" w:eastAsia="Calibri" w:hAnsi="Calibri"/>
          <w:i/>
          <w:iCs/>
          <w:sz w:val="20"/>
          <w:szCs w:val="20"/>
        </w:rPr>
        <w:t xml:space="preserve">An Assessment of the Effectiveness of Papua New Guinea’s Protected Areas Using WWF’s RAPPAM Methodology</w:t>
      </w:r>
      <w:r>
        <w:rPr>
          <w:rFonts w:ascii="Calibri" w:cs="Calibri" w:eastAsia="Calibri" w:hAnsi="Calibri"/>
          <w:sz w:val="20"/>
          <w:szCs w:val="20"/>
        </w:rPr>
        <w:t xml:space="preserve">. Port Moresby: Department of Environment and Conservation / PNG Forest Authority / Research and Conservation Foundation.</w:t>
      </w:r>
    </w:p>
    <w:p>
      <w:pPr>
        <w:spacing w:after="100" w:line="264"/>
        <w:ind w:left="576" w:hanging="576"/>
      </w:pPr>
      <w:r>
        <w:rPr>
          <w:rFonts w:ascii="Calibri" w:cs="Calibri" w:eastAsia="Calibri" w:hAnsi="Calibri"/>
          <w:sz w:val="20"/>
          <w:szCs w:val="20"/>
        </w:rPr>
        <w:t xml:space="preserve">Ellis, J.-A. (1999). </w:t>
      </w:r>
      <w:r>
        <w:rPr>
          <w:rFonts w:ascii="Calibri" w:cs="Calibri" w:eastAsia="Calibri" w:hAnsi="Calibri"/>
          <w:i/>
          <w:iCs/>
          <w:sz w:val="20"/>
          <w:szCs w:val="20"/>
        </w:rPr>
        <w:t xml:space="preserve">Race for the Rainforest II: Applying Lessons Learned from an Integrated Conservation and Development ‘Experiment’ in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Filer, C. (2000). </w:t>
      </w:r>
      <w:r>
        <w:rPr>
          <w:rFonts w:ascii="Calibri" w:cs="Calibri" w:eastAsia="Calibri" w:hAnsi="Calibri"/>
          <w:i/>
          <w:iCs/>
          <w:sz w:val="20"/>
          <w:szCs w:val="20"/>
        </w:rPr>
        <w:t xml:space="preserve">How Can Western Conservationists Talk to Melanesian Landowners about Indigenous Knowledge?</w:t>
      </w:r>
      <w:r>
        <w:rPr>
          <w:rFonts w:ascii="Calibri" w:cs="Calibri" w:eastAsia="Calibri" w:hAnsi="Calibri"/>
          <w:sz w:val="20"/>
          <w:szCs w:val="20"/>
        </w:rPr>
        <w:t xml:space="preserve"> Resource Management in Asia-Pacific Working Paper No. 27. Canberra: Australian National University.</w:t>
      </w:r>
    </w:p>
    <w:p>
      <w:pPr>
        <w:spacing w:after="100" w:line="264"/>
        <w:ind w:left="576" w:hanging="576"/>
      </w:pPr>
      <w:r>
        <w:rPr>
          <w:rFonts w:ascii="Calibri" w:cs="Calibri" w:eastAsia="Calibri" w:hAnsi="Calibri"/>
          <w:sz w:val="20"/>
          <w:szCs w:val="20"/>
        </w:rPr>
        <w:t xml:space="preserve">Filer, C. (2004a). </w:t>
      </w:r>
      <w:r>
        <w:rPr>
          <w:rFonts w:ascii="Calibri" w:cs="Calibri" w:eastAsia="Calibri" w:hAnsi="Calibri"/>
          <w:i/>
          <w:iCs/>
          <w:sz w:val="20"/>
          <w:szCs w:val="20"/>
        </w:rPr>
        <w:t xml:space="preserve">Hotspots and Handouts: Illusions of Conservation and Development in Papua New Guinea</w:t>
      </w:r>
      <w:r>
        <w:rPr>
          <w:rFonts w:ascii="Calibri" w:cs="Calibri" w:eastAsia="Calibri" w:hAnsi="Calibri"/>
          <w:sz w:val="20"/>
          <w:szCs w:val="20"/>
        </w:rPr>
        <w:t xml:space="preserve">. Paper presented at the conference ‘Bridging Scales and Epistemologies’, Alexandria, 17–20 March 2004.</w:t>
      </w:r>
    </w:p>
    <w:p>
      <w:pPr>
        <w:spacing w:after="100" w:line="264"/>
        <w:ind w:left="576" w:hanging="576"/>
      </w:pPr>
      <w:r>
        <w:rPr>
          <w:rFonts w:ascii="Calibri" w:cs="Calibri" w:eastAsia="Calibri" w:hAnsi="Calibri"/>
          <w:sz w:val="20"/>
          <w:szCs w:val="20"/>
        </w:rPr>
        <w:t xml:space="preserve">Filer, C. (2004b). ‘The knowledge of indigenous desire: disintegrating conservation and development in Papua New Guinea.’ In A. Bicker, P. Sillitoe and J. Pottier (eds), </w:t>
      </w:r>
      <w:r>
        <w:rPr>
          <w:rFonts w:ascii="Calibri" w:cs="Calibri" w:eastAsia="Calibri" w:hAnsi="Calibri"/>
          <w:i/>
          <w:iCs/>
          <w:sz w:val="20"/>
          <w:szCs w:val="20"/>
        </w:rPr>
        <w:t xml:space="preserve">Development and Local Knowledge</w:t>
      </w:r>
      <w:r>
        <w:rPr>
          <w:rFonts w:ascii="Calibri" w:cs="Calibri" w:eastAsia="Calibri" w:hAnsi="Calibri"/>
          <w:sz w:val="20"/>
          <w:szCs w:val="20"/>
        </w:rPr>
        <w:t xml:space="preserve">. London: Routledge.</w:t>
      </w:r>
    </w:p>
    <w:p>
      <w:pPr>
        <w:spacing w:after="100" w:line="264"/>
        <w:ind w:left="576" w:hanging="576"/>
      </w:pPr>
      <w:r>
        <w:rPr>
          <w:rFonts w:ascii="Calibri" w:cs="Calibri" w:eastAsia="Calibri" w:hAnsi="Calibri"/>
          <w:sz w:val="20"/>
          <w:szCs w:val="20"/>
        </w:rPr>
        <w:t xml:space="preserve">Filer, C. (2005). </w:t>
      </w:r>
      <w:r>
        <w:rPr>
          <w:rFonts w:ascii="Calibri" w:cs="Calibri" w:eastAsia="Calibri" w:hAnsi="Calibri"/>
          <w:i/>
          <w:iCs/>
          <w:sz w:val="20"/>
          <w:szCs w:val="20"/>
        </w:rPr>
        <w:t xml:space="preserve">The Conservation Policy Community in Papua New Guinea</w:t>
      </w:r>
      <w:r>
        <w:rPr>
          <w:rFonts w:ascii="Calibri" w:cs="Calibri" w:eastAsia="Calibri" w:hAnsi="Calibri"/>
          <w:sz w:val="20"/>
          <w:szCs w:val="20"/>
        </w:rPr>
        <w:t xml:space="preserve">. Resource Management in Asia-Pacific Working Paper No. 63. Canberra: Australian National University.</w:t>
      </w:r>
    </w:p>
    <w:p>
      <w:pPr>
        <w:spacing w:after="100" w:line="264"/>
        <w:ind w:left="576" w:hanging="576"/>
      </w:pPr>
      <w:r>
        <w:rPr>
          <w:rFonts w:ascii="Calibri" w:cs="Calibri" w:eastAsia="Calibri" w:hAnsi="Calibri"/>
          <w:sz w:val="20"/>
          <w:szCs w:val="20"/>
        </w:rPr>
        <w:t xml:space="preserve">Filer, C. (2006). ‘Custom, Law and Ideology in Papua New Guinea.’ </w:t>
      </w:r>
      <w:r>
        <w:rPr>
          <w:rFonts w:ascii="Calibri" w:cs="Calibri" w:eastAsia="Calibri" w:hAnsi="Calibri"/>
          <w:i/>
          <w:iCs/>
          <w:sz w:val="20"/>
          <w:szCs w:val="20"/>
        </w:rPr>
        <w:t xml:space="preserve">The Asia Pacific Journal of Anthropology</w:t>
      </w:r>
      <w:r>
        <w:rPr>
          <w:rFonts w:ascii="Calibri" w:cs="Calibri" w:eastAsia="Calibri" w:hAnsi="Calibri"/>
          <w:sz w:val="20"/>
          <w:szCs w:val="20"/>
        </w:rPr>
        <w:t xml:space="preserve"> 7(1): 65–84.</w:t>
      </w:r>
    </w:p>
    <w:p>
      <w:pPr>
        <w:spacing w:after="100" w:line="264"/>
        <w:ind w:left="576" w:hanging="576"/>
      </w:pPr>
      <w:r>
        <w:rPr>
          <w:rFonts w:ascii="Calibri" w:cs="Calibri" w:eastAsia="Calibri" w:hAnsi="Calibri"/>
          <w:sz w:val="20"/>
          <w:szCs w:val="20"/>
        </w:rPr>
        <w:t xml:space="preserve">Fisher, R. J., Maginnis, S., Jackson, W. J., Barrow, E. and Jeanrenaud, S. (2008). </w:t>
      </w:r>
      <w:r>
        <w:rPr>
          <w:rFonts w:ascii="Calibri" w:cs="Calibri" w:eastAsia="Calibri" w:hAnsi="Calibri"/>
          <w:i/>
          <w:iCs/>
          <w:sz w:val="20"/>
          <w:szCs w:val="20"/>
        </w:rPr>
        <w:t xml:space="preserve">Linking Conservation and Poverty Reduction: Landscapes, People and Power</w:t>
      </w:r>
      <w:r>
        <w:rPr>
          <w:rFonts w:ascii="Calibri" w:cs="Calibri" w:eastAsia="Calibri" w:hAnsi="Calibri"/>
          <w:sz w:val="20"/>
          <w:szCs w:val="20"/>
        </w:rPr>
        <w:t xml:space="preserve">. Gland: IUCN / London: Earthscan.</w:t>
      </w:r>
    </w:p>
    <w:p>
      <w:pPr>
        <w:spacing w:after="100" w:line="264"/>
        <w:ind w:left="576" w:hanging="576"/>
      </w:pPr>
      <w:r>
        <w:rPr>
          <w:rFonts w:ascii="Calibri" w:cs="Calibri" w:eastAsia="Calibri" w:hAnsi="Calibri"/>
          <w:sz w:val="20"/>
          <w:szCs w:val="20"/>
        </w:rPr>
        <w:t xml:space="preserve">Independent State of Papua New Guinea (2014). </w:t>
      </w:r>
      <w:r>
        <w:rPr>
          <w:rFonts w:ascii="Calibri" w:cs="Calibri" w:eastAsia="Calibri" w:hAnsi="Calibri"/>
          <w:i/>
          <w:iCs/>
          <w:sz w:val="20"/>
          <w:szCs w:val="20"/>
        </w:rPr>
        <w:t xml:space="preserve">Papua New Guinea Policy on Protected Areas</w:t>
      </w:r>
      <w:r>
        <w:rPr>
          <w:rFonts w:ascii="Calibri" w:cs="Calibri" w:eastAsia="Calibri" w:hAnsi="Calibri"/>
          <w:sz w:val="20"/>
          <w:szCs w:val="20"/>
        </w:rPr>
        <w:t xml:space="preserve">. Port Moresby: Department of Environment and Conservation.</w:t>
      </w:r>
    </w:p>
    <w:p>
      <w:pPr>
        <w:spacing w:after="100" w:line="264"/>
        <w:ind w:left="576" w:hanging="576"/>
      </w:pPr>
      <w:r>
        <w:rPr>
          <w:rFonts w:ascii="Calibri" w:cs="Calibri" w:eastAsia="Calibri" w:hAnsi="Calibri"/>
          <w:sz w:val="20"/>
          <w:szCs w:val="20"/>
        </w:rPr>
        <w:t xml:space="preserve">IUCN (2023). </w:t>
      </w:r>
      <w:r>
        <w:rPr>
          <w:rFonts w:ascii="Calibri" w:cs="Calibri" w:eastAsia="Calibri" w:hAnsi="Calibri"/>
          <w:i/>
          <w:iCs/>
          <w:sz w:val="20"/>
          <w:szCs w:val="20"/>
        </w:rPr>
        <w:t xml:space="preserve">30x30: A Guide to Inclusive, Equitable and Effective Implementation of Target 3 of the Kunming-Montreal Global Biodiversity Framework</w:t>
      </w:r>
      <w:r>
        <w:rPr>
          <w:rFonts w:ascii="Calibri" w:cs="Calibri" w:eastAsia="Calibri" w:hAnsi="Calibri"/>
          <w:sz w:val="20"/>
          <w:szCs w:val="20"/>
        </w:rPr>
        <w:t xml:space="preserve">. Gland: IUCN.</w:t>
      </w:r>
    </w:p>
    <w:p>
      <w:pPr>
        <w:spacing w:after="100" w:line="264"/>
        <w:ind w:left="576" w:hanging="576"/>
      </w:pPr>
      <w:r>
        <w:rPr>
          <w:rFonts w:ascii="Calibri" w:cs="Calibri" w:eastAsia="Calibri" w:hAnsi="Calibri"/>
          <w:sz w:val="20"/>
          <w:szCs w:val="20"/>
        </w:rPr>
        <w:t xml:space="preserve">Koneha, I. and Tambari, F. (1997). ‘The Oro Butterfly Project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spacing w:after="100" w:line="264"/>
        <w:ind w:left="576" w:hanging="576"/>
      </w:pPr>
      <w:r>
        <w:rPr>
          <w:rFonts w:ascii="Calibri" w:cs="Calibri" w:eastAsia="Calibri" w:hAnsi="Calibri"/>
          <w:sz w:val="20"/>
          <w:szCs w:val="20"/>
        </w:rPr>
        <w:t xml:space="preserve">Leverington, F., Costa, K. L., Pavese, H., Lisle, A. and Hockings, M. (2010). ‘A Global Analysis of Protected Area Management Effectiveness.’ </w:t>
      </w:r>
      <w:r>
        <w:rPr>
          <w:rFonts w:ascii="Calibri" w:cs="Calibri" w:eastAsia="Calibri" w:hAnsi="Calibri"/>
          <w:i/>
          <w:iCs/>
          <w:sz w:val="20"/>
          <w:szCs w:val="20"/>
        </w:rPr>
        <w:t xml:space="preserve">Environmental Management</w:t>
      </w:r>
      <w:r>
        <w:rPr>
          <w:rFonts w:ascii="Calibri" w:cs="Calibri" w:eastAsia="Calibri" w:hAnsi="Calibri"/>
          <w:sz w:val="20"/>
          <w:szCs w:val="20"/>
        </w:rPr>
        <w:t xml:space="preserve"> 46(5): 685–698. DOI 10.1007/s00267-010-9564-5.</w:t>
      </w:r>
    </w:p>
    <w:p>
      <w:pPr>
        <w:spacing w:after="100" w:line="264"/>
        <w:ind w:left="576" w:hanging="576"/>
      </w:pPr>
      <w:r>
        <w:rPr>
          <w:rFonts w:ascii="Calibri" w:cs="Calibri" w:eastAsia="Calibri" w:hAnsi="Calibri"/>
          <w:sz w:val="20"/>
          <w:szCs w:val="20"/>
        </w:rPr>
        <w:t xml:space="preserve">Leverington, F., Peterson, A. and Peterson, G. (2017). </w:t>
      </w:r>
      <w:r>
        <w:rPr>
          <w:rFonts w:ascii="Calibri" w:cs="Calibri" w:eastAsia="Calibri" w:hAnsi="Calibri"/>
          <w:i/>
          <w:iCs/>
          <w:sz w:val="20"/>
          <w:szCs w:val="20"/>
        </w:rPr>
        <w:t xml:space="preserve">Assessment of Management Effectiveness for Papua New Guinea’s Protected Areas 2017. Final Report</w:t>
      </w:r>
      <w:r>
        <w:rPr>
          <w:rFonts w:ascii="Calibri" w:cs="Calibri" w:eastAsia="Calibri" w:hAnsi="Calibri"/>
          <w:sz w:val="20"/>
          <w:szCs w:val="20"/>
        </w:rPr>
        <w:t xml:space="preserve">. Apia: Secretariat of the Pacific Regional Environment Programme (SPREP).</w:t>
      </w:r>
    </w:p>
    <w:p>
      <w:pPr>
        <w:spacing w:after="100" w:line="264"/>
        <w:ind w:left="576" w:hanging="576"/>
      </w:pPr>
      <w:r>
        <w:rPr>
          <w:rFonts w:ascii="Calibri" w:cs="Calibri" w:eastAsia="Calibri" w:hAnsi="Calibri"/>
          <w:sz w:val="20"/>
          <w:szCs w:val="20"/>
        </w:rPr>
        <w:t xml:space="preserve">McCallum, R. and Sekhran, N. (1997). </w:t>
      </w:r>
      <w:r>
        <w:rPr>
          <w:rFonts w:ascii="Calibri" w:cs="Calibri" w:eastAsia="Calibri" w:hAnsi="Calibri"/>
          <w:i/>
          <w:iCs/>
          <w:sz w:val="20"/>
          <w:szCs w:val="20"/>
        </w:rPr>
        <w:t xml:space="preserve">Race for the Rainforest: Evaluating Lessons from an Integrated Conservation and Development ‘Experiment’ in New Ireland,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Novotny, V. (2010). ‘Rain Forest Conservation in a Tribal World: Why Forest Dwellers Prefer Loggers to Conservationists.’ </w:t>
      </w:r>
      <w:r>
        <w:rPr>
          <w:rFonts w:ascii="Calibri" w:cs="Calibri" w:eastAsia="Calibri" w:hAnsi="Calibri"/>
          <w:i/>
          <w:iCs/>
          <w:sz w:val="20"/>
          <w:szCs w:val="20"/>
        </w:rPr>
        <w:t xml:space="preserve">Biotropica</w:t>
      </w:r>
      <w:r>
        <w:rPr>
          <w:rFonts w:ascii="Calibri" w:cs="Calibri" w:eastAsia="Calibri" w:hAnsi="Calibri"/>
          <w:sz w:val="20"/>
          <w:szCs w:val="20"/>
        </w:rPr>
        <w:t xml:space="preserve"> 42(5): 546–549.</w:t>
      </w:r>
    </w:p>
    <w:p>
      <w:pPr>
        <w:spacing w:after="100" w:line="264"/>
        <w:ind w:left="576" w:hanging="576"/>
      </w:pPr>
      <w:r>
        <w:rPr>
          <w:rFonts w:ascii="Calibri" w:cs="Calibri" w:eastAsia="Calibri" w:hAnsi="Calibri"/>
          <w:sz w:val="20"/>
          <w:szCs w:val="20"/>
        </w:rPr>
        <w:t xml:space="preserve">Papua New Guinea (2024). </w:t>
      </w:r>
      <w:r>
        <w:rPr>
          <w:rFonts w:ascii="Calibri" w:cs="Calibri" w:eastAsia="Calibri" w:hAnsi="Calibri"/>
          <w:i/>
          <w:iCs/>
          <w:sz w:val="20"/>
          <w:szCs w:val="20"/>
        </w:rPr>
        <w:t xml:space="preserve">Protected Areas Act 2024</w:t>
      </w:r>
      <w:r>
        <w:rPr>
          <w:rFonts w:ascii="Calibri" w:cs="Calibri" w:eastAsia="Calibri" w:hAnsi="Calibri"/>
          <w:sz w:val="20"/>
          <w:szCs w:val="20"/>
        </w:rPr>
        <w:t xml:space="preserve">. Port Moresby: National Parliament of Papua New Guinea.</w:t>
      </w:r>
    </w:p>
    <w:p>
      <w:pPr>
        <w:spacing w:after="100" w:line="264"/>
        <w:ind w:left="576" w:hanging="576"/>
      </w:pPr>
      <w:r>
        <w:rPr>
          <w:rFonts w:ascii="Calibri" w:cs="Calibri" w:eastAsia="Calibri" w:hAnsi="Calibri"/>
          <w:sz w:val="20"/>
          <w:szCs w:val="20"/>
        </w:rPr>
        <w:t xml:space="preserve">Phillips, A. (2003). ‘Turning Ideas on Their Head: The New Paradigm for Protected Areas.’ </w:t>
      </w:r>
      <w:r>
        <w:rPr>
          <w:rFonts w:ascii="Calibri" w:cs="Calibri" w:eastAsia="Calibri" w:hAnsi="Calibri"/>
          <w:i/>
          <w:iCs/>
          <w:sz w:val="20"/>
          <w:szCs w:val="20"/>
        </w:rPr>
        <w:t xml:space="preserve">The George Wright Forum</w:t>
      </w:r>
      <w:r>
        <w:rPr>
          <w:rFonts w:ascii="Calibri" w:cs="Calibri" w:eastAsia="Calibri" w:hAnsi="Calibri"/>
          <w:sz w:val="20"/>
          <w:szCs w:val="20"/>
        </w:rPr>
        <w:t xml:space="preserve"> 20(2): 8–32.</w:t>
      </w:r>
    </w:p>
    <w:p>
      <w:pPr>
        <w:spacing w:after="100" w:line="264"/>
        <w:ind w:left="576" w:hanging="576"/>
      </w:pPr>
      <w:r>
        <w:rPr>
          <w:rFonts w:ascii="Calibri" w:cs="Calibri" w:eastAsia="Calibri" w:hAnsi="Calibri"/>
          <w:sz w:val="20"/>
          <w:szCs w:val="20"/>
        </w:rPr>
        <w:t xml:space="preserve">Saulei, S. M. and Ellis, J.-A. (eds) (1997). </w:t>
      </w:r>
      <w:r>
        <w:rPr>
          <w:rFonts w:ascii="Calibri" w:cs="Calibri" w:eastAsia="Calibri" w:hAnsi="Calibri"/>
          <w:i/>
          <w:iCs/>
          <w:sz w:val="20"/>
          <w:szCs w:val="20"/>
        </w:rPr>
        <w:t xml:space="preserve">The Motupore Conference: ICAD Practitioners’ Views from the Field</w:t>
      </w:r>
      <w:r>
        <w:rPr>
          <w:rFonts w:ascii="Calibri" w:cs="Calibri" w:eastAsia="Calibri" w:hAnsi="Calibri"/>
          <w:sz w:val="20"/>
          <w:szCs w:val="20"/>
        </w:rPr>
        <w:t xml:space="preserve">. Report of the Second ICAD Conference, Motupore Island (UPNG), 1–5 September 1997. Department of Environment and Conservation / UNDP (PNG/93/G31).</w:t>
      </w:r>
    </w:p>
    <w:p>
      <w:pPr>
        <w:spacing w:after="100" w:line="264"/>
        <w:ind w:left="576" w:hanging="576"/>
      </w:pPr>
      <w:r>
        <w:rPr>
          <w:rFonts w:ascii="Calibri" w:cs="Calibri" w:eastAsia="Calibri" w:hAnsi="Calibri"/>
          <w:sz w:val="20"/>
          <w:szCs w:val="20"/>
        </w:rPr>
        <w:t xml:space="preserve">Sekhran, N. (1996). </w:t>
      </w:r>
      <w:r>
        <w:rPr>
          <w:rFonts w:ascii="Calibri" w:cs="Calibri" w:eastAsia="Calibri" w:hAnsi="Calibri"/>
          <w:i/>
          <w:iCs/>
          <w:sz w:val="20"/>
          <w:szCs w:val="20"/>
        </w:rPr>
        <w:t xml:space="preserve">Pursuing the ‘D’ in Integrated Conservation and Development Projects (ICADPs): Issues and Challenges for Papua New Guinea</w:t>
      </w:r>
      <w:r>
        <w:rPr>
          <w:rFonts w:ascii="Calibri" w:cs="Calibri" w:eastAsia="Calibri" w:hAnsi="Calibri"/>
          <w:sz w:val="20"/>
          <w:szCs w:val="20"/>
        </w:rPr>
        <w:t xml:space="preserve">. Rural Development Forestry Network Paper 19b. London: Overseas Development Institute.</w:t>
      </w:r>
    </w:p>
    <w:p>
      <w:pPr>
        <w:spacing w:after="100" w:line="264"/>
        <w:ind w:left="576" w:hanging="576"/>
      </w:pPr>
      <w:r>
        <w:rPr>
          <w:rFonts w:ascii="Calibri" w:cs="Calibri" w:eastAsia="Calibri" w:hAnsi="Calibri"/>
          <w:sz w:val="20"/>
          <w:szCs w:val="20"/>
        </w:rPr>
        <w:t xml:space="preserve">Sheil, D., Boissière, M. and Beaudoin, G. (2015). ‘Unseen sentinels: local monitoring and control in conservation’s blind spots.’ </w:t>
      </w:r>
      <w:r>
        <w:rPr>
          <w:rFonts w:ascii="Calibri" w:cs="Calibri" w:eastAsia="Calibri" w:hAnsi="Calibri"/>
          <w:i/>
          <w:iCs/>
          <w:sz w:val="20"/>
          <w:szCs w:val="20"/>
        </w:rPr>
        <w:t xml:space="preserve">Ecology and Society</w:t>
      </w:r>
      <w:r>
        <w:rPr>
          <w:rFonts w:ascii="Calibri" w:cs="Calibri" w:eastAsia="Calibri" w:hAnsi="Calibri"/>
          <w:sz w:val="20"/>
          <w:szCs w:val="20"/>
        </w:rPr>
        <w:t xml:space="preserve"> 20(2): 39.</w:t>
      </w:r>
    </w:p>
    <w:p>
      <w:pPr>
        <w:spacing w:after="100" w:line="264"/>
        <w:ind w:left="576" w:hanging="576"/>
      </w:pPr>
      <w:r>
        <w:rPr>
          <w:rFonts w:ascii="Calibri" w:cs="Calibri" w:eastAsia="Calibri" w:hAnsi="Calibri"/>
          <w:sz w:val="20"/>
          <w:szCs w:val="20"/>
        </w:rPr>
        <w:t xml:space="preserve">Zibe-Kokino, S. and Girard, B. (1997). ‘ICAD Management and Implementation: The Kamiali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pBdr>
          <w:top w:val="single" w:color="1F5C2E" w:sz="8" w:space="6"/>
        </w:pBdr>
        <w:spacing w:before="300"/>
      </w:pPr>
      <w:r>
        <w:rPr>
          <w:rFonts w:ascii="Calibri" w:cs="Calibri" w:eastAsia="Calibri" w:hAnsi="Calibri"/>
          <w:i/>
          <w:iCs/>
          <w:color w:val="444444"/>
          <w:sz w:val="18"/>
          <w:szCs w:val="18"/>
        </w:rPr>
        <w:t xml:space="preserve">This paper was prepared by CIFOR–ICRAF Papua New Guinea for the Managalas and Oro Province Project (MOPP), delivered under the EU Forestry, Climate Change and Biodiversity (EU–FCCB) Nexus Programme with the financial support of the European Union. The contents are the responsibility of the authors and do not necessarily reflect the views of the European Union.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888888"/>
        <w:sz w:val="16"/>
        <w:szCs w:val="16"/>
      </w:rPr>
      <w:t xml:space="preserve">Waves of Conservation in Papua New Guinea (v6)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jc w:val="right"/>
    </w:pPr>
    <w:r>
      <w:rPr>
        <w:rFonts w:ascii="Calibri" w:cs="Calibri" w:eastAsia="Calibri" w:hAnsi="Calibri"/>
        <w:color w:val="888888"/>
        <w:sz w:val="16"/>
        <w:szCs w:val="16"/>
      </w:rPr>
      <w:t xml:space="preserve">MOPP  |  CIFOR–ICRAF PNG  |  EU–FCCB Nexus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a52a1a67507c812d775081ed25855166cf7c6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Waves of Conservation in Papua New Guinea</dc:title>
  <dc:creator>CIFOR-ICRAF PNG</dc:creator>
  <dc:description>Background paper for the Practitioner Symposium, MOPP / EU-FCCB</dc:description>
  <cp:lastModifiedBy>Un-named</cp:lastModifiedBy>
  <cp:revision>1</cp:revision>
  <dcterms:created xsi:type="dcterms:W3CDTF">2026-07-30T22:41:16.745Z</dcterms:created>
  <dcterms:modified xsi:type="dcterms:W3CDTF">2026-07-30T22:41:16.745Z</dcterms:modified>
</cp:coreProperties>
</file>

<file path=docProps/custom.xml><?xml version="1.0" encoding="utf-8"?>
<Properties xmlns="http://schemas.openxmlformats.org/officeDocument/2006/custom-properties" xmlns:vt="http://schemas.openxmlformats.org/officeDocument/2006/docPropsVTypes"/>
</file>