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D844" w14:textId="77777777" w:rsidR="00EA6E57" w:rsidRDefault="00000FEE">
      <w:pPr>
        <w:spacing w:after="60"/>
      </w:pPr>
      <w:r>
        <w:rPr>
          <w:b/>
          <w:bCs/>
          <w:color w:val="1F5C2E"/>
          <w:sz w:val="40"/>
          <w:szCs w:val="40"/>
        </w:rPr>
        <w:t>Waves of Conservation in Papua New Guinea</w:t>
      </w:r>
    </w:p>
    <w:p w14:paraId="34BFD845" w14:textId="77777777" w:rsidR="00EA6E57" w:rsidRDefault="00000FEE">
      <w:pPr>
        <w:pBdr>
          <w:bottom w:val="single" w:sz="12" w:space="6" w:color="1F5C2E"/>
        </w:pBdr>
        <w:spacing w:after="200"/>
      </w:pPr>
      <w:r>
        <w:rPr>
          <w:i/>
          <w:iCs/>
          <w:color w:val="444444"/>
          <w:sz w:val="26"/>
          <w:szCs w:val="26"/>
        </w:rPr>
        <w:t>From circumstance, to imposition, to transaction — and towards consent</w:t>
      </w:r>
    </w:p>
    <w:p w14:paraId="34BFD846" w14:textId="77777777" w:rsidR="00EA6E57" w:rsidRDefault="00000FEE">
      <w:pPr>
        <w:spacing w:after="40"/>
      </w:pPr>
      <w:r>
        <w:rPr>
          <w:b/>
          <w:bCs/>
        </w:rPr>
        <w:t>A background paper for the Practitioner Symposium</w:t>
      </w:r>
    </w:p>
    <w:p w14:paraId="34BFD847" w14:textId="77777777" w:rsidR="00EA6E57" w:rsidRDefault="00000FEE">
      <w:pPr>
        <w:spacing w:after="200"/>
      </w:pPr>
      <w:r>
        <w:rPr>
          <w:i/>
          <w:iCs/>
          <w:color w:val="444444"/>
        </w:rPr>
        <w:t>“Conservation in the Context of Customary Land Ownership in Papua New Guinea” — Popondetta, Oro Province</w:t>
      </w:r>
    </w:p>
    <w:p w14:paraId="34BFD848" w14:textId="77777777" w:rsidR="00EA6E57" w:rsidRDefault="00000FEE">
      <w:pPr>
        <w:spacing w:after="240"/>
      </w:pPr>
      <w:r>
        <w:rPr>
          <w:color w:val="444444"/>
          <w:sz w:val="20"/>
          <w:szCs w:val="20"/>
        </w:rPr>
        <w:t xml:space="preserve">Prepared by CIFOR–ICRAF Papua New Guinea for the Managalas and Oro Province Project (MOPP). </w:t>
      </w:r>
      <w:r>
        <w:rPr>
          <w:b/>
          <w:bCs/>
          <w:color w:val="444444"/>
          <w:sz w:val="20"/>
          <w:szCs w:val="20"/>
        </w:rPr>
        <w:t>This work is delivered under the European Union Forestry, Climate Change and Biodiversity (EU–FCCB) Nexus Programme and is funded by the European Union.</w:t>
      </w:r>
    </w:p>
    <w:p w14:paraId="34BFD849" w14:textId="77777777" w:rsidR="00EA6E57" w:rsidRDefault="00000FEE">
      <w:pPr>
        <w:pStyle w:val="Heading1"/>
        <w:spacing w:before="280" w:after="140"/>
      </w:pPr>
      <w:r>
        <w:rPr>
          <w:b/>
          <w:bCs/>
          <w:color w:val="1F5C2E"/>
          <w:sz w:val="30"/>
          <w:szCs w:val="30"/>
        </w:rPr>
        <w:t>1.  Introduction: why the history matters</w:t>
      </w:r>
    </w:p>
    <w:p w14:paraId="34BFD84A" w14:textId="60EBD023" w:rsidR="00EA6E57" w:rsidRDefault="00000FEE">
      <w:pPr>
        <w:spacing w:after="140" w:line="276" w:lineRule="auto"/>
        <w:jc w:val="both"/>
      </w:pPr>
      <w:r>
        <w:t xml:space="preserve">Papua New Guinea is, in a formal sense, one of the least protected of the world’s great forest nations, and in a substantive sense one of the best. Roughly </w:t>
      </w:r>
      <w:r>
        <w:rPr>
          <w:b/>
          <w:bCs/>
        </w:rPr>
        <w:t>97 per cent of its land is held under customary tenure</w:t>
      </w:r>
      <w:r>
        <w:t xml:space="preserve"> (Sekhran 1996), </w:t>
      </w:r>
      <w:r w:rsidR="00560BDC">
        <w:t xml:space="preserve">*add forest cover as an indicator of conservation* </w:t>
      </w:r>
      <w:r>
        <w:t xml:space="preserve">which means that almost every decision about whether a forest stands or falls rests not with the state but with the clans and families who own it. The country therefore cannot conserve by decree. It can only conserve by </w:t>
      </w:r>
      <w:r w:rsidR="00560BDC">
        <w:t>consent</w:t>
      </w:r>
      <w:r>
        <w:t xml:space="preserve">. That </w:t>
      </w:r>
      <w:r>
        <w:t>has shaped every attempt to protect nature here for the past half-century, and it is the fact that this symposium exists to confront.</w:t>
      </w:r>
    </w:p>
    <w:p w14:paraId="34BFD84B" w14:textId="32057AE1" w:rsidR="00EA6E57" w:rsidRDefault="00000FEE">
      <w:pPr>
        <w:spacing w:after="140" w:line="276" w:lineRule="auto"/>
        <w:jc w:val="both"/>
      </w:pPr>
      <w:r>
        <w:t xml:space="preserve">The Kunming–Montreal Global Biodiversity Framework asks every country to bring 30 per cent of its land and sea under effective conservation by 2030 — Target 3, the commitment now widely known as 30x30 (IUCN 2023). For a state that owns almost none of its own land, this is not a target that can be met by drawing new lines on a map. It requires the willing, informed and </w:t>
      </w:r>
      <w:r w:rsidR="00560BDC">
        <w:t xml:space="preserve">lasting </w:t>
      </w:r>
      <w:r>
        <w:t>consent of hundreds of thousands of customary owners. Understanding why some past attempts to win that consent failed, and why a small number have begun to succeed, is the most practical preparation possible for the conversation ahead.</w:t>
      </w:r>
    </w:p>
    <w:p w14:paraId="34BFD84C" w14:textId="44ACC285" w:rsidR="00EA6E57" w:rsidRDefault="00000FEE">
      <w:pPr>
        <w:spacing w:after="140" w:line="276" w:lineRule="auto"/>
        <w:jc w:val="both"/>
      </w:pPr>
      <w:r>
        <w:t xml:space="preserve">This paper traces conservation in Papua New Guinea as a sequence of overlapping waves. Each wave </w:t>
      </w:r>
      <w:r w:rsidR="00560BDC">
        <w:t xml:space="preserve">was led by international conservation science </w:t>
      </w:r>
      <w:r w:rsidR="000461AC">
        <w:t xml:space="preserve">carrying </w:t>
      </w:r>
      <w:r>
        <w:t>a different theory of how nature might be protected</w:t>
      </w:r>
      <w:r w:rsidR="000461AC">
        <w:t xml:space="preserve">, and that wave fell onto PNG’s unique landscape of </w:t>
      </w:r>
      <w:r>
        <w:t xml:space="preserve">customary </w:t>
      </w:r>
      <w:r w:rsidR="000461AC">
        <w:t xml:space="preserve">rights.  </w:t>
      </w:r>
      <w:r>
        <w:t>: that it happened as a by-product of how people already lived; that it could be imposed by the state; that it could be purchased through development; and, most recently, that it might be built on consent. The waves are not tidy successive eras — each left sediment that the next was built upon</w:t>
      </w:r>
      <w:r w:rsidR="0017137C">
        <w:t xml:space="preserve"> or around</w:t>
      </w:r>
      <w:r>
        <w:t xml:space="preserve">, and elements of all four are visible in the field today. The purpose here is not to settle the argument but to </w:t>
      </w:r>
      <w:r w:rsidR="0017137C">
        <w:t xml:space="preserve">be open about the past success and failures to prepare for a discussion about how to move forwards.  </w:t>
      </w:r>
      <w:r>
        <w:t>, and to do so with Papua New Guinean examples, including several from Oro Province itself.</w:t>
      </w:r>
    </w:p>
    <w:p w14:paraId="34BFD84D" w14:textId="77777777" w:rsidR="00EA6E57" w:rsidRDefault="00000FEE">
      <w:pPr>
        <w:spacing w:after="140" w:line="276" w:lineRule="auto"/>
        <w:jc w:val="both"/>
      </w:pPr>
      <w:r>
        <w:rPr>
          <w:b/>
          <w:bCs/>
        </w:rPr>
        <w:t xml:space="preserve">A note on precedent. </w:t>
      </w:r>
      <w:r>
        <w:t xml:space="preserve">In September 1997, conservation practitioners gathered at Motupore Island to compare, candidly, what was and was not working in the field. The proceedings of that meeting — </w:t>
      </w:r>
      <w:r>
        <w:rPr>
          <w:i/>
          <w:iCs/>
        </w:rPr>
        <w:t>The Motupore Conference: ICAD Practitioners’ Views from the Field</w:t>
      </w:r>
      <w:r>
        <w:t xml:space="preserve"> (Saulei and Ellis 1997) — remain one of the frankest records of practice this country has produced. This symposium stands in that tradition, and this paper draws on Motupore’s testimony throughout.</w:t>
      </w:r>
    </w:p>
    <w:p w14:paraId="34BFD84E" w14:textId="77777777" w:rsidR="00EA6E57" w:rsidRDefault="00000FEE">
      <w:pPr>
        <w:pStyle w:val="Heading1"/>
        <w:spacing w:before="280" w:after="140"/>
      </w:pPr>
      <w:r>
        <w:rPr>
          <w:b/>
          <w:bCs/>
          <w:color w:val="1F5C2E"/>
          <w:sz w:val="30"/>
          <w:szCs w:val="30"/>
        </w:rPr>
        <w:lastRenderedPageBreak/>
        <w:t>2.  Wave One — Conservation by circumstance</w:t>
      </w:r>
    </w:p>
    <w:p w14:paraId="34BFD84F" w14:textId="77777777" w:rsidR="00EA6E57" w:rsidRDefault="00000FEE">
      <w:pPr>
        <w:spacing w:after="140" w:line="276" w:lineRule="auto"/>
        <w:jc w:val="both"/>
      </w:pPr>
      <w:r>
        <w:t xml:space="preserve">Before sustained outside contact, the forests of New Guinea were, by most measures, intact. It is tempting to read that intactness as evidence of a deliberate conservation ethic, and a good deal of well-meaning policy has done exactly that. The evidence does not support it. As Sekhran (1996) and Bulmer (1982) argued, what looked like conservation was for the most part </w:t>
      </w:r>
      <w:r>
        <w:rPr>
          <w:b/>
          <w:bCs/>
        </w:rPr>
        <w:t>contextually functional rather than intentionally conservationist</w:t>
      </w:r>
      <w:r>
        <w:t>. Low population densities, a subsistence economy without commercial outlets for timber or wildlife, and the hard territorial discipline of inter-clan relations — including the demographic weight of warfare — together produced a landscape that changed slowly. Forests persisted because the pressures that now consume them did not yet exist.</w:t>
      </w:r>
    </w:p>
    <w:p w14:paraId="34BFD850" w14:textId="77777777" w:rsidR="00EA6E57" w:rsidRDefault="00000FEE">
      <w:pPr>
        <w:spacing w:after="140" w:line="276" w:lineRule="auto"/>
        <w:jc w:val="both"/>
      </w:pPr>
      <w:r>
        <w:t xml:space="preserve">This distinction matters for reasons that are practical, not merely academic. Customary practices such as reserved sacred groves, seasonal taboos and rotational garden fallows did, and still do, carry real ecological weight. But they evolved to sustain a way of life, not to hold biodiversity at a target level, and the conditions that made them effective — small populations, no cash economy, enforced territorial limits — have largely gone. Filer (2004a) makes the sharper point that the country’s forests are </w:t>
      </w:r>
      <w:r>
        <w:t>indeed the product of indigenous resource-management regimes refined over forty thousand years, yet warns against collapsing that long history into a claim that pre-contact practice can simply be reactivated to deliver modern conservation outcomes.</w:t>
      </w:r>
    </w:p>
    <w:p w14:paraId="34BFD851" w14:textId="77777777" w:rsidR="00EA6E57" w:rsidRDefault="00000FEE">
      <w:pPr>
        <w:spacing w:after="140" w:line="276" w:lineRule="auto"/>
        <w:jc w:val="both"/>
      </w:pPr>
      <w:r>
        <w:t xml:space="preserve">The lesson of Wave One is therefore double-edged, and the symposium should hold both edges at once. Customary knowledge and institutions are genuine assets and any credible approach must build on them. But romanticising them — treating ‘traditional’ society as a conservation model waiting to be switched back on — misreads the past and sets up the present to fail. The task is not to restore an imagined equilibrium but to construct a new one under conditions of cash, roads, population growth and logging that </w:t>
      </w:r>
      <w:r>
        <w:t>the old equilibrium never had to face.</w:t>
      </w:r>
    </w:p>
    <w:p w14:paraId="34BFD852" w14:textId="77777777" w:rsidR="00EA6E57" w:rsidRDefault="00000FEE">
      <w:pPr>
        <w:pStyle w:val="Heading1"/>
        <w:spacing w:before="280" w:after="140"/>
      </w:pPr>
      <w:r>
        <w:rPr>
          <w:b/>
          <w:bCs/>
          <w:color w:val="1F5C2E"/>
          <w:sz w:val="30"/>
          <w:szCs w:val="30"/>
        </w:rPr>
        <w:t>3.  Wave Two — Protected areas by imposition (1970s–1990s)</w:t>
      </w:r>
    </w:p>
    <w:p w14:paraId="34BFD853" w14:textId="77777777" w:rsidR="00EA6E57" w:rsidRDefault="00000FEE">
      <w:pPr>
        <w:spacing w:after="140" w:line="276" w:lineRule="auto"/>
        <w:jc w:val="both"/>
      </w:pPr>
      <w:r>
        <w:t>The first modern conservation wave arrived with the state. From the 1970s, government established national parks and reserves on the classic international model: land set aside, managed by an agency, with people held at the boundary. On customary land this model contained a contradiction it could never resolve. Because the state owned almost none of the land it wished to protect, its parks were either small islands on the fraction of alienated land, or they depended on customary owners who had been given li</w:t>
      </w:r>
      <w:r>
        <w:t>ttle reason to cooperate and often had not been meaningfully consulted at all. Exclusion from the demarcation of areas the community still owned bred resentment, and resentment bred the very degradation the parks were meant to prevent.</w:t>
      </w:r>
    </w:p>
    <w:p w14:paraId="395367F1" w14:textId="77777777" w:rsidR="00A95F77" w:rsidRDefault="00A95F77">
      <w:pPr>
        <w:spacing w:after="140" w:line="276" w:lineRule="auto"/>
        <w:jc w:val="both"/>
      </w:pPr>
    </w:p>
    <w:p w14:paraId="63BF5E43" w14:textId="2DE257AB" w:rsidR="00A95F77" w:rsidRDefault="00A95F77">
      <w:pPr>
        <w:spacing w:after="140" w:line="276" w:lineRule="auto"/>
        <w:jc w:val="both"/>
      </w:pPr>
      <w:r>
        <w:t>Funding to manage these?</w:t>
      </w:r>
    </w:p>
    <w:p w14:paraId="30585984" w14:textId="77777777" w:rsidR="00A95F77" w:rsidRDefault="00A95F77">
      <w:pPr>
        <w:spacing w:after="140" w:line="276" w:lineRule="auto"/>
        <w:jc w:val="both"/>
      </w:pPr>
    </w:p>
    <w:p w14:paraId="34BFD854" w14:textId="61F42F56" w:rsidR="00EA6E57" w:rsidRDefault="00000FEE">
      <w:pPr>
        <w:spacing w:after="140" w:line="276" w:lineRule="auto"/>
        <w:jc w:val="both"/>
      </w:pPr>
      <w:r>
        <w:t xml:space="preserve">Papua New Guinea’s legislators </w:t>
      </w:r>
      <w:r w:rsidR="00BA6245">
        <w:t xml:space="preserve">recognised the </w:t>
      </w:r>
      <w:r>
        <w:t xml:space="preserve">problem </w:t>
      </w:r>
      <w:r w:rsidR="00BA6245">
        <w:t>and pivoted</w:t>
      </w:r>
      <w:r>
        <w:t xml:space="preserve">. The Wildlife Management Area (WMA), established under the Fauna (Protection and Control) Act, was a deliberately different instrument: </w:t>
      </w:r>
      <w:r>
        <w:lastRenderedPageBreak/>
        <w:t>it left ownership and management authority with customary landowners, who set their own rules through a management committee. As Sekhran (1996) observed, the WMA was an attempt to build conservation on customary tenure rather than against it — an idea decades ahead of its international moment, even where implementation later faltered.</w:t>
      </w:r>
    </w:p>
    <w:p w14:paraId="34BFD855" w14:textId="13E4139C" w:rsidR="00EA6E57" w:rsidRDefault="00000FEE">
      <w:pPr>
        <w:spacing w:after="140" w:line="276" w:lineRule="auto"/>
        <w:jc w:val="both"/>
      </w:pPr>
      <w:r>
        <w:t>The national settlement</w:t>
      </w:r>
      <w:r w:rsidR="00D30BED">
        <w:t xml:space="preserve"> (?)</w:t>
      </w:r>
      <w:r>
        <w:t xml:space="preserve"> of 1975 embedded the same tension in the country’s foundations. The Constitution’s Fourth National Goal commits the nation to conserve its natural resources and environment for the collective benefit of all and for future generations; the same constitutional order entrenches customary land ownership </w:t>
      </w:r>
      <w:r w:rsidR="00176636">
        <w:t xml:space="preserve">(commonly estimated at </w:t>
      </w:r>
      <w:r>
        <w:t>97 per cent</w:t>
      </w:r>
      <w:r w:rsidR="00176636">
        <w:t>)</w:t>
      </w:r>
      <w:r>
        <w:t xml:space="preserve"> of the country. Conservation and customary tenure were written into the national project together, as partners and as a problem to be worked out in practice.</w:t>
      </w:r>
    </w:p>
    <w:p w14:paraId="34BFD856" w14:textId="77777777" w:rsidR="00EA6E57" w:rsidRDefault="00000FEE">
      <w:pPr>
        <w:spacing w:after="140" w:line="276" w:lineRule="auto"/>
        <w:jc w:val="both"/>
      </w:pPr>
      <w:r>
        <w:t xml:space="preserve">By the mid-1990s the arithmetic of imposition was plain. Sekhran (1996) records that some </w:t>
      </w:r>
      <w:r>
        <w:rPr>
          <w:b/>
          <w:bCs/>
        </w:rPr>
        <w:t>13,000 square kilometres — about 2.8 per cent of the land area — held designated protected-area status</w:t>
      </w:r>
      <w:r>
        <w:t>, and that most of these areas were too small to be ecologically viable. Two decades of the state-led model had produced a scattering of paper parks and a hard lesson: on customary land, protection that is imposed rather than owned does not hold. That lesson set the stage for a wave that promised to solve the consent problem by buying it.</w:t>
      </w:r>
    </w:p>
    <w:p w14:paraId="34BFD857" w14:textId="77777777" w:rsidR="00EA6E57" w:rsidRDefault="00000FEE">
      <w:pPr>
        <w:pStyle w:val="Heading1"/>
        <w:spacing w:before="280" w:after="140"/>
      </w:pPr>
      <w:r>
        <w:rPr>
          <w:b/>
          <w:bCs/>
          <w:color w:val="1F5C2E"/>
          <w:sz w:val="30"/>
          <w:szCs w:val="30"/>
        </w:rPr>
        <w:t>4.  Wave Three — Conservation by transaction: the ICAD era (1986–2010s)</w:t>
      </w:r>
    </w:p>
    <w:p w14:paraId="34BFD858" w14:textId="77777777" w:rsidR="00EA6E57" w:rsidRDefault="00000FEE">
      <w:pPr>
        <w:spacing w:after="140" w:line="276" w:lineRule="auto"/>
        <w:jc w:val="both"/>
      </w:pPr>
      <w:r>
        <w:t>The Integrated Conservation and Development Project (ICDP), known in its Papua New Guinean legal form as the Integrated Conservation and Development Area (ICAD), was introduced internationally by WWF in the mid-1980s and spread through the country in the 1990s, largely through the UNDP/GEF-funded Biodiversity Conservation and Resource Management Programme. Its logic was elegant and, on paper, irresistible. If customary owners would not conserve for nothing, then conservation would be exchanged for developme</w:t>
      </w:r>
      <w:r>
        <w:t>nt: schools, aid posts, roads, ecotourism income, small enterprise. Protect the forest, and development would follow. A generation of projects was built on that bargain — Lak, Bismarck–Ramu, Crater Mountain, the Oro Butterfly Project, Kamiali, Kikori Basin and the Hunstein Range among them. Enough of them have now run their course that their record can be read honestly, and it is the richest source of practical instruction this country possesses.</w:t>
      </w:r>
    </w:p>
    <w:p w14:paraId="34BFD859" w14:textId="77777777" w:rsidR="00EA6E57" w:rsidRDefault="00000FEE">
      <w:pPr>
        <w:spacing w:after="140" w:line="276" w:lineRule="auto"/>
        <w:jc w:val="both"/>
      </w:pPr>
      <w:r>
        <w:t xml:space="preserve">It is worth pausing on the flaw at the centre of the bargain, because a Papua New Guinean review named it while the wave was still cresting. The very title of Sekhran’s (1996) paper — </w:t>
      </w:r>
      <w:r>
        <w:rPr>
          <w:i/>
          <w:iCs/>
        </w:rPr>
        <w:t>Pursuing the ‘D’</w:t>
      </w:r>
      <w:r>
        <w:t xml:space="preserve"> — points at the difficulty: development was the hard, unresolved element, and the assumed link between delivering it and achieving conservation was precisely the part that kept failing to hold. Sekhran (1996) saw the mechanism plainly: “material incentives alone are unlikely to achieve conservation objectives”, because once conservation is justified on purely economic grounds, communities who aspire to higher incomes than a project can supply “would either sell out to the highest bidder or increase extract</w:t>
      </w:r>
      <w:r>
        <w:t>ion… beyond sustainable levels”. Non-material — “moral” — incentives, built on customary attachments to land and sacred groves, were needed to reinforce the economic ones. The ICAD wave, for the most part, inverted that advice: it led with the money and left the meaning to look after itself.</w:t>
      </w:r>
    </w:p>
    <w:p w14:paraId="4D102602" w14:textId="77777777" w:rsidR="008D3066" w:rsidRDefault="008D3066">
      <w:pPr>
        <w:spacing w:after="140" w:line="276" w:lineRule="auto"/>
        <w:jc w:val="both"/>
      </w:pPr>
    </w:p>
    <w:p w14:paraId="29F8B3F8" w14:textId="1A41C42C" w:rsidR="008D3066" w:rsidRDefault="008D3066">
      <w:pPr>
        <w:spacing w:after="140" w:line="276" w:lineRule="auto"/>
        <w:jc w:val="both"/>
      </w:pPr>
      <w:r>
        <w:lastRenderedPageBreak/>
        <w:t>Did this lead to the idea that conservation was an event rather than ongoing management (</w:t>
      </w:r>
      <w:r w:rsidR="003B1F07">
        <w:t>changes in how rights to land are applied)?</w:t>
      </w:r>
    </w:p>
    <w:p w14:paraId="06394480" w14:textId="77777777" w:rsidR="008D3066" w:rsidRDefault="008D3066">
      <w:pPr>
        <w:spacing w:after="140" w:line="276" w:lineRule="auto"/>
        <w:jc w:val="both"/>
      </w:pPr>
    </w:p>
    <w:p w14:paraId="34BFD85A" w14:textId="77777777" w:rsidR="00EA6E57" w:rsidRDefault="00000FEE">
      <w:pPr>
        <w:pStyle w:val="Heading2"/>
        <w:spacing w:before="200" w:after="100"/>
      </w:pPr>
      <w:r>
        <w:rPr>
          <w:b/>
          <w:bCs/>
          <w:color w:val="1F5C2E"/>
          <w:sz w:val="25"/>
          <w:szCs w:val="25"/>
        </w:rPr>
        <w:t>4.1  Lak, New Ireland — when logging out-runs conservation</w:t>
      </w:r>
    </w:p>
    <w:p w14:paraId="34BFD85B" w14:textId="77777777" w:rsidR="00EA6E57" w:rsidRDefault="00000FEE">
      <w:pPr>
        <w:spacing w:after="140" w:line="276" w:lineRule="auto"/>
        <w:jc w:val="both"/>
      </w:pPr>
      <w:r>
        <w:t xml:space="preserve">The Lak project in southern New Ireland is the era’s most fully documented case, evaluated at length in </w:t>
      </w:r>
      <w:r>
        <w:rPr>
          <w:i/>
          <w:iCs/>
        </w:rPr>
        <w:t>Race for the Rainforest</w:t>
      </w:r>
      <w:r>
        <w:t xml:space="preserve"> (McCallum and Sekhran 1997). Its account is unusually candid. Because Lak was an ICAD, it centred on a development alternative to logging — a community sustainable-forestry enterprise — but a commercial logging operation was already under way, and the resource base for the sustainable option “diminished rapidly” as a result. The project “turned out to be unviable and did not result in the establishment of a conservation area” (McCallum and Sekhran 1997). Conservation, offered as a slower and smaller return</w:t>
      </w:r>
      <w:r>
        <w:t>, simply could not out-compete the cash and speed of the chainsaw.</w:t>
      </w:r>
    </w:p>
    <w:p w14:paraId="34BFD85C" w14:textId="77777777" w:rsidR="00EA6E57" w:rsidRDefault="00000FEE">
      <w:pPr>
        <w:spacing w:after="140" w:line="276" w:lineRule="auto"/>
        <w:jc w:val="both"/>
      </w:pPr>
      <w:r>
        <w:t>The evaluators’ own framing is instructive for a symposium audience: the experiment’s result was negative, but its outcome was positive, because it was documented so thoroughly that its lessons could travel. The most important of those lessons — that a development inducement cannot compete with an already-open logging frontier, and that consent must be built before a project is designed rather than purchased after — fed directly into the participatory methodology later trialled at Bismarck–Ramu.</w:t>
      </w:r>
    </w:p>
    <w:p w14:paraId="34BFD85D" w14:textId="77777777" w:rsidR="00EA6E57" w:rsidRDefault="00000FEE">
      <w:pPr>
        <w:pStyle w:val="Heading2"/>
        <w:spacing w:before="200" w:after="100"/>
      </w:pPr>
      <w:r>
        <w:rPr>
          <w:b/>
          <w:bCs/>
          <w:color w:val="1F5C2E"/>
          <w:sz w:val="25"/>
          <w:szCs w:val="25"/>
        </w:rPr>
        <w:t>4.2  Bismarck–Ramu — from failed project to a different model</w:t>
      </w:r>
    </w:p>
    <w:p w14:paraId="34BFD85E" w14:textId="77777777" w:rsidR="00EA6E57" w:rsidRDefault="00000FEE">
      <w:pPr>
        <w:spacing w:after="140" w:line="276" w:lineRule="auto"/>
        <w:jc w:val="both"/>
      </w:pPr>
      <w:r>
        <w:t xml:space="preserve">Bismarck–Ramu began within the same programme and, in its first incarnation, embodied its characteristic errors. Filer (2000) records the founding scene with some irony: an expert task force that helicoptered into the area, “decamped… with a vague promise to return with a map”, and never came back. What made Bismarck–Ramu significant is what its practitioners did next. They abandoned the delivery-of-development template in favour of a slower method built around what they called genuine community conviction </w:t>
      </w:r>
      <w:r>
        <w:t>— engaging communities in deciding whether they wanted conservation at all, before anything was offered or built.</w:t>
      </w:r>
    </w:p>
    <w:p w14:paraId="34BFD85F" w14:textId="77777777" w:rsidR="00EA6E57" w:rsidRDefault="00000FEE">
      <w:pPr>
        <w:spacing w:after="140" w:line="276" w:lineRule="auto"/>
        <w:jc w:val="both"/>
      </w:pPr>
      <w:r>
        <w:t xml:space="preserve">Out of that shift came an institution rather than a project. Anderson (2005) documents how the effort gave rise to the </w:t>
      </w:r>
      <w:r>
        <w:rPr>
          <w:b/>
          <w:bCs/>
        </w:rPr>
        <w:t>Bismarck Ramu Group (BRG)</w:t>
      </w:r>
      <w:r>
        <w:t>, a Papua New Guinean organisation that broke away to pursue a model of community partnership and self-reliance — explicitly rejecting the idea that conservation should be traded for material handouts, and centring instead on empowering communities to decide and act for themselves. The donor-funded project eventually ended; the BRG endured. For a symposium asking what comes after the ICAD bargain, Bismarck–Ramu is the pivotal case: the point at which some practitioners stopped trying to buy consent and bega</w:t>
      </w:r>
      <w:r>
        <w:t>n trying to build it.</w:t>
      </w:r>
    </w:p>
    <w:p w14:paraId="34BFD860" w14:textId="77777777" w:rsidR="00EA6E57" w:rsidRDefault="00000FEE">
      <w:pPr>
        <w:pStyle w:val="Heading2"/>
        <w:spacing w:before="200" w:after="100"/>
      </w:pPr>
      <w:r>
        <w:rPr>
          <w:b/>
          <w:bCs/>
          <w:color w:val="1F5C2E"/>
          <w:sz w:val="25"/>
          <w:szCs w:val="25"/>
        </w:rPr>
        <w:t>4.3  Crater Mountain — participation, monitoring, and its limits</w:t>
      </w:r>
    </w:p>
    <w:p w14:paraId="34BFD861" w14:textId="77777777" w:rsidR="00EA6E57" w:rsidRDefault="00000FEE">
      <w:pPr>
        <w:spacing w:after="140" w:line="276" w:lineRule="auto"/>
        <w:jc w:val="both"/>
      </w:pPr>
      <w:r>
        <w:t xml:space="preserve">Crater Mountain, run by the Research and Conservation Foundation with WCS, is often remembered as the era’s flagship, and it generated real innovation in community participation and biological monitoring — several of its practitioners reported their methods and their frustrations directly at Motupore (Saulei and Ellis 1997). Yet Filer (2004a) uses it to illustrate the era’s recurring weakness: the “cooperative endeavour” between outsiders and landowners often remained superficial, with each side holding a </w:t>
      </w:r>
      <w:r>
        <w:lastRenderedPageBreak/>
        <w:t>different and unspoken theory of what the arrangement was for. Communities frequently read the project as simply another kind of developer — a source of goods — while conservation staff read the same relationship as a shared mission. When the goods slowed, so did the cooperation.</w:t>
      </w:r>
    </w:p>
    <w:p w14:paraId="34BFD862" w14:textId="77777777" w:rsidR="00EA6E57" w:rsidRDefault="00000FEE">
      <w:pPr>
        <w:pStyle w:val="Heading2"/>
        <w:spacing w:before="200" w:after="100"/>
      </w:pPr>
      <w:r>
        <w:rPr>
          <w:b/>
          <w:bCs/>
          <w:color w:val="1F5C2E"/>
          <w:sz w:val="25"/>
          <w:szCs w:val="25"/>
        </w:rPr>
        <w:t>4.4  The Oro Butterfly Project — a local case, in this province</w:t>
      </w:r>
    </w:p>
    <w:p w14:paraId="34BFD863" w14:textId="134D7DA4" w:rsidR="00EA6E57" w:rsidRDefault="00000FEE">
      <w:pPr>
        <w:spacing w:after="140" w:line="276" w:lineRule="auto"/>
        <w:jc w:val="both"/>
      </w:pPr>
      <w:r>
        <w:t>No example will be closer to this symposium’s participants than the Oro Butterfly Project, reported at Motupore by two of its own officers, Koneha and Tambari (1997). Established in 1991 by the Nature Conservation Branch of the Department of Environment and Conservation, and incorporated from 1995 with the Oro Provincial Government and AusAID, its object was to sustain a viable population of the Queen Alexandra’s Birdwing Butterfly — the world’s largest butterfly, found only in Oro Province and carried on t</w:t>
      </w:r>
      <w:r>
        <w:t>he provincial flag — in its natural habitat on the Popondetta Plains and the Managalas</w:t>
      </w:r>
      <w:r>
        <w:t xml:space="preserve"> Plateau. </w:t>
      </w:r>
    </w:p>
    <w:p w14:paraId="34BFD864" w14:textId="1ED9ADF5" w:rsidR="00EA6E57" w:rsidRDefault="00000FEE">
      <w:pPr>
        <w:spacing w:after="140" w:line="276" w:lineRule="auto"/>
        <w:jc w:val="both"/>
      </w:pPr>
      <w:r>
        <w:t xml:space="preserve">Its record is a compact anatomy of the whole ICAD wave. On the </w:t>
      </w:r>
      <w:r>
        <w:rPr>
          <w:b/>
          <w:bCs/>
        </w:rPr>
        <w:t>success</w:t>
      </w:r>
      <w:r>
        <w:t xml:space="preserve"> side, Koneha and Tambari (1997) describe tangible, locally-valued gains: a landowner’s ecotourism guesthouse funded in a healthy butterfly area; a water well for another; small cash allowances for twelve “landowner conservationists” who monitored the butterfly and reported at six-monthly workshops; and enterprise experiments in chilli buying, rabbit rearing and insect-trade training to build alternative income. On the </w:t>
      </w:r>
      <w:r>
        <w:rPr>
          <w:b/>
          <w:bCs/>
        </w:rPr>
        <w:t>failure</w:t>
      </w:r>
      <w:r>
        <w:t xml:space="preserve"> side, they are equally frank: the project could not fund guesthouses for every owner in the ‘hot spot’ without becoming unviable; land-tenure disputes had to be resolved by the parties before the project could even engage; manpower to monitor the butterfly was chronically short; and, most tellingly, a </w:t>
      </w:r>
      <w:r>
        <w:rPr>
          <w:i/>
          <w:iCs/>
        </w:rPr>
        <w:t>“cargo cult mentality”</w:t>
      </w:r>
      <w:r>
        <w:t xml:space="preserve"> took hold on the Managalas</w:t>
      </w:r>
      <w:r>
        <w:t xml:space="preserve"> Plateau, where the project was imagined as a multi-national operation that ought to deliver large-scale investment overnight. The mismatch between what a conservation project could realistically provide and what a development bargain had led people to expect is the single thread that runs through every case in this section.</w:t>
      </w:r>
    </w:p>
    <w:p w14:paraId="34BFD865" w14:textId="77777777" w:rsidR="00EA6E57" w:rsidRDefault="00000FEE">
      <w:pPr>
        <w:pStyle w:val="Heading2"/>
        <w:spacing w:before="200" w:after="100"/>
      </w:pPr>
      <w:r>
        <w:rPr>
          <w:b/>
          <w:bCs/>
          <w:color w:val="1F5C2E"/>
          <w:sz w:val="25"/>
          <w:szCs w:val="25"/>
        </w:rPr>
        <w:t>4.5  Kamiali and the common pattern of failure</w:t>
      </w:r>
    </w:p>
    <w:p w14:paraId="34BFD866" w14:textId="77777777" w:rsidR="00EA6E57" w:rsidRDefault="00000FEE">
      <w:pPr>
        <w:spacing w:after="140" w:line="276" w:lineRule="auto"/>
        <w:jc w:val="both"/>
      </w:pPr>
      <w:r>
        <w:t>The Kamiali experience in Morobe, reported by Zibe-Kokino and Girard (1997) of the Village Development Trust, rounds out a picture whose regularities are by now unmistakable. Across the cases, the same failure mechanisms recur: development inducements generated cargo-style expectations that no project could satisfy; conservation returns could not out-compete timber royalties (Filer 2004a); cooperation between outsiders and owners was often superficial and mutually misunderstood; communities slid into depend</w:t>
      </w:r>
      <w:r>
        <w:t>ency and passivity as recipients rather than authors of the work; and younger people, drawn towards cash and away from custom, were alienated from both.</w:t>
      </w:r>
    </w:p>
    <w:p w14:paraId="34BFD867" w14:textId="77777777" w:rsidR="00EA6E57" w:rsidRDefault="00000FEE">
      <w:pPr>
        <w:spacing w:after="140" w:line="276" w:lineRule="auto"/>
        <w:jc w:val="both"/>
      </w:pPr>
      <w:r>
        <w:t xml:space="preserve">Vojtech Novotny (2010) gave this pattern its most uncomfortable formulation from long field experience in the country, in a paper whose title says almost everything: “Why Forest Dwellers Prefer Loggers to Conservationists.” His diagnosis is not that communities do not value their forests, but that in the absence of a competitive alternative they will rationally accept the logger who pays now over the conservationist who promises later. His proposed remedy — direct payments, a </w:t>
      </w:r>
      <w:r>
        <w:rPr>
          <w:i/>
          <w:iCs/>
        </w:rPr>
        <w:t>conservation royalty</w:t>
      </w:r>
      <w:r>
        <w:t xml:space="preserve"> that meets the opportunity cost of foregone logging — reframes the problem as one of honest competition rather than persuasion, and points directly at the financing question this symposium will have to answer.</w:t>
      </w:r>
    </w:p>
    <w:p w14:paraId="34BFD868" w14:textId="77777777" w:rsidR="00EA6E57" w:rsidRDefault="00000FEE">
      <w:pPr>
        <w:spacing w:after="140" w:line="276" w:lineRule="auto"/>
        <w:jc w:val="both"/>
      </w:pPr>
      <w:r>
        <w:lastRenderedPageBreak/>
        <w:t xml:space="preserve">Papua New Guinea’s disappointment was not unique; it was a national instance of an international reckoning. By the time the ICAD wave crested, conservation scholarship globally had begun to concede that the celebrated “win–win” of conservation and development was an assumption rather than a demonstrated result. Fisher and colleagues (2008), in a landmark IUCN synthesis, put it bluntly: interventions must recognise that trade-offs are real, and that their costs are too often “borne by the” local poor rather </w:t>
      </w:r>
      <w:r>
        <w:t>than shared. The ICAD promise had quietly reversed the burden of proof — presuming that development would deliver conservation, when in Papua New Guinea, as elsewhere, the two had to be reconciled deliberately and were just as likely to pull apart. Read in that light, the local cases above are not a record of Papua New Guinean failure so much as a particularly well-documented chapter in a worldwide learning curve.</w:t>
      </w:r>
    </w:p>
    <w:p w14:paraId="34BFD869" w14:textId="3D308630" w:rsidR="00EA6E57" w:rsidRDefault="00000FEE">
      <w:pPr>
        <w:spacing w:after="140" w:line="276" w:lineRule="auto"/>
        <w:jc w:val="both"/>
      </w:pPr>
      <w:r>
        <w:rPr>
          <w:b/>
          <w:bCs/>
        </w:rPr>
        <w:t xml:space="preserve">A boundary worth drawing. </w:t>
      </w:r>
      <w:r>
        <w:t xml:space="preserve">It should be stated plainly, because it is often blurred: the Managalas Conservation Area is </w:t>
      </w:r>
      <w:r>
        <w:rPr>
          <w:b/>
          <w:bCs/>
        </w:rPr>
        <w:t>not</w:t>
      </w:r>
      <w:r>
        <w:t xml:space="preserve"> an ICAD. It did not arise from a donor project offering development in exchange for protection. It was built under the Conservation Areas Act through a consent process that preceded, rather than followed, any project design — which places it in the wave described next, not this one.</w:t>
      </w:r>
      <w:r w:rsidR="001F4BA2">
        <w:t xml:space="preserve">  … The OCP did not lead to gazettal.  That process took another 20 year</w:t>
      </w:r>
      <w:r w:rsidR="006C7976">
        <w:t>s…</w:t>
      </w:r>
    </w:p>
    <w:p w14:paraId="34BFD86A" w14:textId="77777777" w:rsidR="00EA6E57" w:rsidRDefault="00000FEE">
      <w:pPr>
        <w:pStyle w:val="Heading1"/>
        <w:spacing w:before="280" w:after="140"/>
      </w:pPr>
      <w:r>
        <w:rPr>
          <w:b/>
          <w:bCs/>
          <w:color w:val="1F5C2E"/>
          <w:sz w:val="30"/>
          <w:szCs w:val="30"/>
        </w:rPr>
        <w:t>5.  Wave Four — Towards conservation by consent (2009–present)</w:t>
      </w:r>
    </w:p>
    <w:p w14:paraId="34BFD86B" w14:textId="77777777" w:rsidR="00EA6E57" w:rsidRDefault="00000FEE">
      <w:pPr>
        <w:spacing w:after="140" w:line="276" w:lineRule="auto"/>
        <w:jc w:val="both"/>
      </w:pPr>
      <w:r>
        <w:t>The current wave is defined less by a new technique than by an inverted sequence. Where the ICAD offered development first and hoped consent would follow, the emerging model treats consent as the foundation on which everything else is built — and it is being carried, increasingly, by Papua New Guinean institutions rather than foreign projects. Three landmarks mark the shift.</w:t>
      </w:r>
    </w:p>
    <w:p w14:paraId="34BFD86C" w14:textId="77777777" w:rsidR="00EA6E57" w:rsidRDefault="00000FEE">
      <w:pPr>
        <w:spacing w:after="140" w:line="276" w:lineRule="auto"/>
        <w:jc w:val="both"/>
      </w:pPr>
      <w:r>
        <w:rPr>
          <w:b/>
          <w:bCs/>
        </w:rPr>
        <w:t>The YUS Conservation Area</w:t>
      </w:r>
      <w:r>
        <w:t xml:space="preserve"> (Morobe), gazetted in 2009 as the country’s first Conservation Area under that instrument, showed that a durable, community-owned protected area could be assembled by long, patient consent-building led by an organisation — the Tree Kangaroo Conservation Program — embedded in the community over many years.</w:t>
      </w:r>
    </w:p>
    <w:p w14:paraId="34BFD86D" w14:textId="77777777" w:rsidR="00EA6E57" w:rsidRDefault="00000FEE">
      <w:pPr>
        <w:spacing w:after="140" w:line="276" w:lineRule="auto"/>
        <w:jc w:val="both"/>
      </w:pPr>
      <w:r>
        <w:rPr>
          <w:b/>
          <w:bCs/>
        </w:rPr>
        <w:t>The Managalas Conservation Area</w:t>
      </w:r>
      <w:r>
        <w:t xml:space="preserve">, gazetted in 2017 under the Conservation Areas Act 1978 and covering </w:t>
      </w:r>
      <w:r>
        <w:rPr>
          <w:b/>
          <w:bCs/>
        </w:rPr>
        <w:t>214,696 hectares</w:t>
      </w:r>
      <w:r>
        <w:t xml:space="preserve"> of Oro Province, is the largest expression of this approach. It was the product of some thirty years of consent-building among the customary owners of the plateau, led by Partners with Melanesians and supported over the long term by the Rainforest Foundation Norway. Its defining feature is precisely the one the ICAD era lacked: the agreement of the landowners came first, and the legal area followed from it. It is the direct successor, on the same plateau, to the Oro Butterfly Project of the 1990s — the sam</w:t>
      </w:r>
      <w:r>
        <w:t>e landscape, a different theory of how to hold it.</w:t>
      </w:r>
    </w:p>
    <w:p w14:paraId="34BFD86E" w14:textId="77777777" w:rsidR="00EA6E57" w:rsidRDefault="00000FEE">
      <w:pPr>
        <w:spacing w:after="140" w:line="276" w:lineRule="auto"/>
        <w:jc w:val="both"/>
      </w:pPr>
      <w:r>
        <w:rPr>
          <w:b/>
          <w:bCs/>
        </w:rPr>
        <w:t>Indigenous-led models</w:t>
      </w:r>
      <w:r>
        <w:t xml:space="preserve"> have matured alongside these. The Mount Wilhelm–centred community conservation of MENCERTC in Simbu, recognised with a UNDP Equator Prize in 2022, and the conservation-deed arrangements advanced by WCS, show landowners and Papua New Guinean organisations designing and holding conservation on their own terms. Running through all of them is a quieter continuity with Wave One: the recognition, as Sheil, Boissière and Beaudoin (2015) put it, that local people are the “unseen sentinels” who actually monitor and</w:t>
      </w:r>
      <w:r>
        <w:t xml:space="preserve"> control these landscapes, and that formal conservation succeeds only where it works through, rather than around, that local authority.</w:t>
      </w:r>
    </w:p>
    <w:p w14:paraId="34BFD86F" w14:textId="77777777" w:rsidR="00EA6E57" w:rsidRDefault="00000FEE">
      <w:pPr>
        <w:spacing w:after="140" w:line="276" w:lineRule="auto"/>
        <w:jc w:val="both"/>
      </w:pPr>
      <w:r>
        <w:lastRenderedPageBreak/>
        <w:t xml:space="preserve">The legal architecture has now caught up with the ambition. The </w:t>
      </w:r>
      <w:r>
        <w:rPr>
          <w:b/>
          <w:bCs/>
        </w:rPr>
        <w:t>Protected Areas Act 2024</w:t>
      </w:r>
      <w:r>
        <w:t xml:space="preserve"> establishes a national Protected Area Network and a Biodiversity and Climate Fund, and aligns the country with the 30x30 commitment. The gap it must close is stark. Formal protected-area coverage stood at about 2.8 per cent of the land in the mid-1990s (Sekhran 1996) and, even with YUS, Managalas and others gazetted since, remains a small fraction of the 30 per cent that Target 3 envisages for 2030. </w:t>
      </w:r>
      <w:r>
        <w:rPr>
          <w:i/>
          <w:iCs/>
          <w:color w:val="8A6D00"/>
          <w:sz w:val="20"/>
          <w:szCs w:val="20"/>
        </w:rPr>
        <w:t>[The precise current national coverage figure should be confirmed against CEPA / Protected Planet at finalisation — flagged rather than asserted here.]</w:t>
      </w:r>
      <w:r>
        <w:t xml:space="preserve"> The distance between 2.8 per cent and 30 per cent is not an incidental shortfall to be made up with a few more gazettals. On land that is 97 per cent customary, it is a structural challenge that can only be met one act of consent at a time.</w:t>
      </w:r>
    </w:p>
    <w:p w14:paraId="34BFD870" w14:textId="77777777" w:rsidR="00EA6E57" w:rsidRDefault="00000FEE">
      <w:pPr>
        <w:spacing w:after="140" w:line="276" w:lineRule="auto"/>
        <w:jc w:val="both"/>
      </w:pPr>
      <w:r>
        <w:t xml:space="preserve">Consent, moreover, is not a one-off signature but a relationship that must be sustained for decades, and sustaining it costs money. This is where Wave Four still shares a frontier with Wave Three: a landowner who agrees not to log has foregone a real and often substantial income, and unless that opportunity cost is honestly met the agreement will erode exactly as the ICAD bargains did. Novotny’s (2010) proposal of a conservation royalty — a direct, recurring payment that competes with what the logger would </w:t>
      </w:r>
      <w:r>
        <w:t>have paid — is one answer; payment for ecosystem services is another; and the Biodiversity and Climate Fund established under the Protected Areas Act 2024 is the country’s first attempt at a standing national mechanism to carry such costs. The unresolved question is not whether these instruments exist but whether any of them can deliver reliable, long-term finance to hundreds of thousands of customary owners — the difference between consent that is bought once and consent that is kept.</w:t>
      </w:r>
    </w:p>
    <w:p w14:paraId="34BFD871" w14:textId="77777777" w:rsidR="00EA6E57" w:rsidRDefault="00000FEE">
      <w:pPr>
        <w:pStyle w:val="Heading1"/>
        <w:spacing w:before="280" w:after="140"/>
      </w:pPr>
      <w:r>
        <w:rPr>
          <w:b/>
          <w:bCs/>
          <w:color w:val="1F5C2E"/>
          <w:sz w:val="30"/>
          <w:szCs w:val="30"/>
        </w:rPr>
        <w:t>6.  Open questions for the symposium</w:t>
      </w:r>
    </w:p>
    <w:p w14:paraId="34BFD872" w14:textId="77777777" w:rsidR="00EA6E57" w:rsidRDefault="00000FEE">
      <w:pPr>
        <w:spacing w:after="140" w:line="276" w:lineRule="auto"/>
        <w:jc w:val="both"/>
      </w:pPr>
      <w:r>
        <w:t>The point of reading these four waves together is not to declare the newest one victorious. The ICAD era, too, began in optimism and good faith. The honest question is whether the current approach is genuinely different in kind, or whether it repeats the old bargain in more respectful language. Three questions follow from the history, and they map onto the deliberations ahead.</w:t>
      </w:r>
    </w:p>
    <w:p w14:paraId="34BFD873" w14:textId="77777777" w:rsidR="00EA6E57" w:rsidRDefault="00000FEE">
      <w:pPr>
        <w:spacing w:after="140" w:line="276" w:lineRule="auto"/>
        <w:jc w:val="both"/>
      </w:pPr>
      <w:r>
        <w:rPr>
          <w:b/>
          <w:bCs/>
        </w:rPr>
        <w:t xml:space="preserve">First — are today’s approaches genuinely different from the ICAD wave, or the same transaction restated? </w:t>
      </w:r>
      <w:r>
        <w:t>Consent-led conservation still, in the end, has to offer landowners a livelihood that competes with logging and oil palm. If the money still arrives as project largesse that stops when the donor leaves, the Oro Butterfly Project’s ‘cargo’ problem will return under a new name. What, concretely, makes a consent-based model more durable than the development bargain it replaced?</w:t>
      </w:r>
    </w:p>
    <w:p w14:paraId="34BFD874" w14:textId="77777777" w:rsidR="00EA6E57" w:rsidRDefault="00000FEE">
      <w:pPr>
        <w:spacing w:after="140" w:line="276" w:lineRule="auto"/>
        <w:jc w:val="both"/>
      </w:pPr>
      <w:r>
        <w:rPr>
          <w:b/>
          <w:bCs/>
        </w:rPr>
        <w:t xml:space="preserve">Second — what would 30x30 actually require on customary land? </w:t>
      </w:r>
      <w:r>
        <w:t>Reaching 30 per cent means securing the willing agreement of a very large number of independent customary groups, and then sustaining it for decades. That points to questions of long-term finance — Novotny’s (2010) conservation royalty, payment for ecosystem services, the new Biodiversity and Climate Fund — and to whether the opportunity cost of not logging can be honestly met, year after year, at national scale.</w:t>
      </w:r>
    </w:p>
    <w:p w14:paraId="34BFD875" w14:textId="77777777" w:rsidR="00EA6E57" w:rsidRDefault="00000FEE">
      <w:pPr>
        <w:spacing w:after="140" w:line="276" w:lineRule="auto"/>
        <w:jc w:val="both"/>
      </w:pPr>
      <w:r>
        <w:rPr>
          <w:b/>
          <w:bCs/>
        </w:rPr>
        <w:t xml:space="preserve">Third — who decides? </w:t>
      </w:r>
      <w:r>
        <w:t xml:space="preserve">Every wave foundered, in part, on this question. Wave Two decided for communities; Wave Three decided that development would decide for them. The wager of the current wave is that decisions must be made by the customary owners themselves, with outside actors in support rather than control. Whether the country’s institutions — CEPA, provincial governments, NGOs and </w:t>
      </w:r>
      <w:r>
        <w:lastRenderedPageBreak/>
        <w:t>donors — can genuinely accept that division of authority is, perhaps, the question on which 30x30 in Papua New Guinea will turn.</w:t>
      </w:r>
    </w:p>
    <w:p w14:paraId="645EF595" w14:textId="77777777" w:rsidR="007F637C" w:rsidRDefault="007F637C">
      <w:pPr>
        <w:spacing w:after="140" w:line="276" w:lineRule="auto"/>
        <w:jc w:val="both"/>
      </w:pPr>
    </w:p>
    <w:p w14:paraId="67D6C692" w14:textId="3729D9C6" w:rsidR="007F637C" w:rsidRDefault="007F637C">
      <w:pPr>
        <w:spacing w:after="140" w:line="276" w:lineRule="auto"/>
        <w:jc w:val="both"/>
      </w:pPr>
      <w:r>
        <w:rPr>
          <w:b/>
          <w:bCs/>
        </w:rPr>
        <w:t>Fourth – what is conservation in PNG?</w:t>
      </w:r>
      <w:r>
        <w:t xml:space="preserve"> How should conservation in PNG be framed and communicated to landowners and to external supporters?  What </w:t>
      </w:r>
      <w:r w:rsidR="00695C5C">
        <w:t>does it mean, what will it look like, what are realistic potential outcomes that can be offered to landowners and donors?</w:t>
      </w:r>
    </w:p>
    <w:p w14:paraId="7A02A164" w14:textId="77777777" w:rsidR="007F637C" w:rsidRPr="007F637C" w:rsidRDefault="007F637C">
      <w:pPr>
        <w:spacing w:after="140" w:line="276" w:lineRule="auto"/>
        <w:jc w:val="both"/>
      </w:pPr>
    </w:p>
    <w:p w14:paraId="34BFD876" w14:textId="77777777" w:rsidR="00EA6E57" w:rsidRDefault="00000FEE">
      <w:pPr>
        <w:spacing w:after="140" w:line="276" w:lineRule="auto"/>
        <w:jc w:val="both"/>
      </w:pPr>
      <w:r>
        <w:t>These are the questions this symposium is convened to work through. The history offers no formula, but it does offer something more useful than optimism: a clear record, much of it Papua New Guinean and some of it from this very province, of what has been tried, what has failed, and what — slowly, and on the owners’ terms — has begun to work.</w:t>
      </w:r>
    </w:p>
    <w:p w14:paraId="34BFD877" w14:textId="77777777" w:rsidR="00EA6E57" w:rsidRDefault="00000FEE">
      <w:pPr>
        <w:pStyle w:val="Heading1"/>
        <w:spacing w:before="280" w:after="140"/>
      </w:pPr>
      <w:r>
        <w:rPr>
          <w:b/>
          <w:bCs/>
          <w:color w:val="1F5C2E"/>
          <w:sz w:val="30"/>
          <w:szCs w:val="30"/>
        </w:rPr>
        <w:t>References</w:t>
      </w:r>
    </w:p>
    <w:p w14:paraId="34BFD878" w14:textId="77777777" w:rsidR="00EA6E57" w:rsidRDefault="00000FEE">
      <w:pPr>
        <w:spacing w:after="100" w:line="264" w:lineRule="auto"/>
        <w:ind w:left="576" w:hanging="576"/>
      </w:pPr>
      <w:r>
        <w:rPr>
          <w:sz w:val="20"/>
          <w:szCs w:val="20"/>
        </w:rPr>
        <w:t xml:space="preserve">Anderson, T. (2005). </w:t>
      </w:r>
      <w:r>
        <w:rPr>
          <w:i/>
          <w:iCs/>
          <w:sz w:val="20"/>
          <w:szCs w:val="20"/>
        </w:rPr>
        <w:t>Challenging ‘integrated conservation and development’ in Papua New Guinea: the Bismarck Ramu Group</w:t>
      </w:r>
      <w:r>
        <w:rPr>
          <w:sz w:val="20"/>
          <w:szCs w:val="20"/>
        </w:rPr>
        <w:t>. [Full publication details to be confirmed against the source at finalisation.]</w:t>
      </w:r>
    </w:p>
    <w:p w14:paraId="34BFD879" w14:textId="77777777" w:rsidR="00EA6E57" w:rsidRDefault="00000FEE">
      <w:pPr>
        <w:spacing w:after="100" w:line="264" w:lineRule="auto"/>
        <w:ind w:left="576" w:hanging="576"/>
      </w:pPr>
      <w:r>
        <w:rPr>
          <w:sz w:val="20"/>
          <w:szCs w:val="20"/>
        </w:rPr>
        <w:t xml:space="preserve">Bulmer, R. N. H. (1982). ‘Traditional Conservation Practices in Papua New Guinea.’ In L. Morauta, J. Pernetta and W. Heaney (eds), </w:t>
      </w:r>
      <w:r>
        <w:rPr>
          <w:i/>
          <w:iCs/>
          <w:sz w:val="20"/>
          <w:szCs w:val="20"/>
        </w:rPr>
        <w:t>Traditional Conservation in Papua New Guinea: Implications for Today</w:t>
      </w:r>
      <w:r>
        <w:rPr>
          <w:sz w:val="20"/>
          <w:szCs w:val="20"/>
        </w:rPr>
        <w:t>. Boroko: Institute of Applied Social and Economic Research. (Cited via Sekhran 1996 and Filer 2004a.)</w:t>
      </w:r>
    </w:p>
    <w:p w14:paraId="34BFD87A" w14:textId="77777777" w:rsidR="00EA6E57" w:rsidRDefault="00000FEE">
      <w:pPr>
        <w:spacing w:after="100" w:line="264" w:lineRule="auto"/>
        <w:ind w:left="576" w:hanging="576"/>
      </w:pPr>
      <w:r>
        <w:rPr>
          <w:sz w:val="20"/>
          <w:szCs w:val="20"/>
        </w:rPr>
        <w:t xml:space="preserve">Ellis, J.-A. (1999). </w:t>
      </w:r>
      <w:r>
        <w:rPr>
          <w:i/>
          <w:iCs/>
          <w:sz w:val="20"/>
          <w:szCs w:val="20"/>
        </w:rPr>
        <w:t>Race for the Rainforest II: Applying Lessons Learned from an Integrated Conservation and Development ‘Experiment’ in Papua New Guinea</w:t>
      </w:r>
      <w:r>
        <w:rPr>
          <w:sz w:val="20"/>
          <w:szCs w:val="20"/>
        </w:rPr>
        <w:t>. Papua New Guinea Biodiversity Conservation and Resource Management Programme, Department of Environment and Conservation / UNDP–GEF.</w:t>
      </w:r>
    </w:p>
    <w:p w14:paraId="34BFD87B" w14:textId="77777777" w:rsidR="00EA6E57" w:rsidRDefault="00000FEE">
      <w:pPr>
        <w:spacing w:after="100" w:line="264" w:lineRule="auto"/>
        <w:ind w:left="576" w:hanging="576"/>
      </w:pPr>
      <w:r>
        <w:rPr>
          <w:sz w:val="20"/>
          <w:szCs w:val="20"/>
        </w:rPr>
        <w:t xml:space="preserve">Filer, C. (2000). </w:t>
      </w:r>
      <w:r>
        <w:rPr>
          <w:i/>
          <w:iCs/>
          <w:sz w:val="20"/>
          <w:szCs w:val="20"/>
        </w:rPr>
        <w:t>How Can Western Conservationists Talk to Melanesian Landowners about Indigenous Knowledge?</w:t>
      </w:r>
      <w:r>
        <w:rPr>
          <w:sz w:val="20"/>
          <w:szCs w:val="20"/>
        </w:rPr>
        <w:t xml:space="preserve"> Resource Management in Asia-Pacific Working Paper No. 27. Canberra: Australian National University.</w:t>
      </w:r>
    </w:p>
    <w:p w14:paraId="34BFD87C" w14:textId="77777777" w:rsidR="00EA6E57" w:rsidRDefault="00000FEE">
      <w:pPr>
        <w:spacing w:after="100" w:line="264" w:lineRule="auto"/>
        <w:ind w:left="576" w:hanging="576"/>
      </w:pPr>
      <w:r>
        <w:rPr>
          <w:sz w:val="20"/>
          <w:szCs w:val="20"/>
        </w:rPr>
        <w:t xml:space="preserve">Filer, C. (2004a). </w:t>
      </w:r>
      <w:r>
        <w:rPr>
          <w:i/>
          <w:iCs/>
          <w:sz w:val="20"/>
          <w:szCs w:val="20"/>
        </w:rPr>
        <w:t>Hotspots and Handouts: Illusions of Conservation and Development in Papua New Guinea</w:t>
      </w:r>
      <w:r>
        <w:rPr>
          <w:sz w:val="20"/>
          <w:szCs w:val="20"/>
        </w:rPr>
        <w:t>. Paper presented at the conference ‘Bridging Scales and Epistemologies’, Alexandria, 17–20 March 2004.</w:t>
      </w:r>
    </w:p>
    <w:p w14:paraId="34BFD87D" w14:textId="77777777" w:rsidR="00EA6E57" w:rsidRDefault="00000FEE">
      <w:pPr>
        <w:spacing w:after="100" w:line="264" w:lineRule="auto"/>
        <w:ind w:left="576" w:hanging="576"/>
      </w:pPr>
      <w:r>
        <w:rPr>
          <w:sz w:val="20"/>
          <w:szCs w:val="20"/>
        </w:rPr>
        <w:t xml:space="preserve">Filer, C. (2004b). ‘The knowledge of indigenous desire: disintegrating conservation and development in Papua New Guinea.’ In A. Bicker, P. Sillitoe and J. Pottier (eds), </w:t>
      </w:r>
      <w:r>
        <w:rPr>
          <w:i/>
          <w:iCs/>
          <w:sz w:val="20"/>
          <w:szCs w:val="20"/>
        </w:rPr>
        <w:t>Development and Local Knowledge</w:t>
      </w:r>
      <w:r>
        <w:rPr>
          <w:sz w:val="20"/>
          <w:szCs w:val="20"/>
        </w:rPr>
        <w:t>. London: Routledge.</w:t>
      </w:r>
    </w:p>
    <w:p w14:paraId="34BFD87E" w14:textId="77777777" w:rsidR="00EA6E57" w:rsidRDefault="00000FEE">
      <w:pPr>
        <w:spacing w:after="100" w:line="264" w:lineRule="auto"/>
        <w:ind w:left="576" w:hanging="576"/>
      </w:pPr>
      <w:r>
        <w:rPr>
          <w:sz w:val="20"/>
          <w:szCs w:val="20"/>
        </w:rPr>
        <w:t xml:space="preserve">Filer, C. (2005). </w:t>
      </w:r>
      <w:r>
        <w:rPr>
          <w:i/>
          <w:iCs/>
          <w:sz w:val="20"/>
          <w:szCs w:val="20"/>
        </w:rPr>
        <w:t>The Conservation Policy Community in Papua New Guinea</w:t>
      </w:r>
      <w:r>
        <w:rPr>
          <w:sz w:val="20"/>
          <w:szCs w:val="20"/>
        </w:rPr>
        <w:t>. Resource Management in Asia-Pacific Working Paper No. 63. Canberra: Australian National University.</w:t>
      </w:r>
    </w:p>
    <w:p w14:paraId="34BFD87F" w14:textId="77777777" w:rsidR="00EA6E57" w:rsidRDefault="00000FEE">
      <w:pPr>
        <w:spacing w:after="100" w:line="264" w:lineRule="auto"/>
        <w:ind w:left="576" w:hanging="576"/>
      </w:pPr>
      <w:r>
        <w:rPr>
          <w:sz w:val="20"/>
          <w:szCs w:val="20"/>
        </w:rPr>
        <w:t xml:space="preserve">Filer, C. (2006). ‘Custom, Law and Ideology in Papua New Guinea.’ </w:t>
      </w:r>
      <w:r>
        <w:rPr>
          <w:i/>
          <w:iCs/>
          <w:sz w:val="20"/>
          <w:szCs w:val="20"/>
        </w:rPr>
        <w:t>The Asia Pacific Journal of Anthropology</w:t>
      </w:r>
      <w:r>
        <w:rPr>
          <w:sz w:val="20"/>
          <w:szCs w:val="20"/>
        </w:rPr>
        <w:t xml:space="preserve"> 7(1): 65–84.</w:t>
      </w:r>
    </w:p>
    <w:p w14:paraId="34BFD880" w14:textId="77777777" w:rsidR="00EA6E57" w:rsidRDefault="00000FEE">
      <w:pPr>
        <w:spacing w:after="100" w:line="264" w:lineRule="auto"/>
        <w:ind w:left="576" w:hanging="576"/>
      </w:pPr>
      <w:r>
        <w:rPr>
          <w:sz w:val="20"/>
          <w:szCs w:val="20"/>
        </w:rPr>
        <w:t xml:space="preserve">Fisher, R. J., Maginnis, S., Jackson, W. J., Barrow, E. and Jeanrenaud, S. (2008). </w:t>
      </w:r>
      <w:r>
        <w:rPr>
          <w:i/>
          <w:iCs/>
          <w:sz w:val="20"/>
          <w:szCs w:val="20"/>
        </w:rPr>
        <w:t>Linking Conservation and Poverty Reduction: Landscapes, People and Power</w:t>
      </w:r>
      <w:r>
        <w:rPr>
          <w:sz w:val="20"/>
          <w:szCs w:val="20"/>
        </w:rPr>
        <w:t>. Gland: IUCN / London: Earthscan.</w:t>
      </w:r>
    </w:p>
    <w:p w14:paraId="34BFD881" w14:textId="77777777" w:rsidR="00EA6E57" w:rsidRDefault="00000FEE">
      <w:pPr>
        <w:spacing w:after="100" w:line="264" w:lineRule="auto"/>
        <w:ind w:left="576" w:hanging="576"/>
      </w:pPr>
      <w:r>
        <w:rPr>
          <w:sz w:val="20"/>
          <w:szCs w:val="20"/>
        </w:rPr>
        <w:t xml:space="preserve">IUCN (2023). </w:t>
      </w:r>
      <w:r>
        <w:rPr>
          <w:i/>
          <w:iCs/>
          <w:sz w:val="20"/>
          <w:szCs w:val="20"/>
        </w:rPr>
        <w:t>30x30: A Guide to Inclusive, Equitable and Effective Implementation of Target 3 of the Kunming-Montreal Global Biodiversity Framework</w:t>
      </w:r>
      <w:r>
        <w:rPr>
          <w:sz w:val="20"/>
          <w:szCs w:val="20"/>
        </w:rPr>
        <w:t>. Gland: IUCN.</w:t>
      </w:r>
    </w:p>
    <w:p w14:paraId="34BFD882" w14:textId="77777777" w:rsidR="00EA6E57" w:rsidRDefault="00000FEE">
      <w:pPr>
        <w:spacing w:after="100" w:line="264" w:lineRule="auto"/>
        <w:ind w:left="576" w:hanging="576"/>
      </w:pPr>
      <w:r>
        <w:rPr>
          <w:sz w:val="20"/>
          <w:szCs w:val="20"/>
        </w:rPr>
        <w:t xml:space="preserve">Koneha, I. and Tambari, F. (1997). ‘The Oro Butterfly Project Experiences.’ In Saulei and Ellis (eds), </w:t>
      </w:r>
      <w:r>
        <w:rPr>
          <w:i/>
          <w:iCs/>
          <w:sz w:val="20"/>
          <w:szCs w:val="20"/>
        </w:rPr>
        <w:t>The Motupore Conference</w:t>
      </w:r>
      <w:r>
        <w:rPr>
          <w:sz w:val="20"/>
          <w:szCs w:val="20"/>
        </w:rPr>
        <w:t>.</w:t>
      </w:r>
    </w:p>
    <w:p w14:paraId="34BFD883" w14:textId="77777777" w:rsidR="00EA6E57" w:rsidRDefault="00000FEE">
      <w:pPr>
        <w:spacing w:after="100" w:line="264" w:lineRule="auto"/>
        <w:ind w:left="576" w:hanging="576"/>
      </w:pPr>
      <w:r>
        <w:rPr>
          <w:sz w:val="20"/>
          <w:szCs w:val="20"/>
        </w:rPr>
        <w:t xml:space="preserve">McCallum, R. and Sekhran, N. (1997). </w:t>
      </w:r>
      <w:r>
        <w:rPr>
          <w:i/>
          <w:iCs/>
          <w:sz w:val="20"/>
          <w:szCs w:val="20"/>
        </w:rPr>
        <w:t>Race for the Rainforest: Evaluating Lessons from an Integrated Conservation and Development ‘Experiment’ in New Ireland, Papua New Guinea</w:t>
      </w:r>
      <w:r>
        <w:rPr>
          <w:sz w:val="20"/>
          <w:szCs w:val="20"/>
        </w:rPr>
        <w:t xml:space="preserve">. Papua New Guinea Biodiversity </w:t>
      </w:r>
      <w:r>
        <w:rPr>
          <w:sz w:val="20"/>
          <w:szCs w:val="20"/>
        </w:rPr>
        <w:lastRenderedPageBreak/>
        <w:t>Conservation and Resource Management Programme, Department of Environment and Conservation / UNDP–GEF.</w:t>
      </w:r>
    </w:p>
    <w:p w14:paraId="34BFD884" w14:textId="77777777" w:rsidR="00EA6E57" w:rsidRDefault="00000FEE">
      <w:pPr>
        <w:spacing w:after="100" w:line="264" w:lineRule="auto"/>
        <w:ind w:left="576" w:hanging="576"/>
      </w:pPr>
      <w:r>
        <w:rPr>
          <w:sz w:val="20"/>
          <w:szCs w:val="20"/>
        </w:rPr>
        <w:t xml:space="preserve">Novotny, V. (2010). ‘Rain Forest Conservation in a Tribal World: Why Forest Dwellers Prefer Loggers to Conservationists.’ </w:t>
      </w:r>
      <w:r>
        <w:rPr>
          <w:i/>
          <w:iCs/>
          <w:sz w:val="20"/>
          <w:szCs w:val="20"/>
        </w:rPr>
        <w:t>Biotropica</w:t>
      </w:r>
      <w:r>
        <w:rPr>
          <w:sz w:val="20"/>
          <w:szCs w:val="20"/>
        </w:rPr>
        <w:t xml:space="preserve"> 42(5): 546–549.</w:t>
      </w:r>
    </w:p>
    <w:p w14:paraId="34BFD885" w14:textId="77777777" w:rsidR="00EA6E57" w:rsidRDefault="00000FEE">
      <w:pPr>
        <w:spacing w:after="100" w:line="264" w:lineRule="auto"/>
        <w:ind w:left="576" w:hanging="576"/>
      </w:pPr>
      <w:r>
        <w:rPr>
          <w:sz w:val="20"/>
          <w:szCs w:val="20"/>
        </w:rPr>
        <w:t xml:space="preserve">Papua New Guinea (2024). </w:t>
      </w:r>
      <w:r>
        <w:rPr>
          <w:i/>
          <w:iCs/>
          <w:sz w:val="20"/>
          <w:szCs w:val="20"/>
        </w:rPr>
        <w:t>Protected Areas Act 2024</w:t>
      </w:r>
      <w:r>
        <w:rPr>
          <w:sz w:val="20"/>
          <w:szCs w:val="20"/>
        </w:rPr>
        <w:t>. Port Moresby: National Parliament of Papua New Guinea.</w:t>
      </w:r>
    </w:p>
    <w:p w14:paraId="34BFD886" w14:textId="77777777" w:rsidR="00EA6E57" w:rsidRDefault="00000FEE">
      <w:pPr>
        <w:spacing w:after="100" w:line="264" w:lineRule="auto"/>
        <w:ind w:left="576" w:hanging="576"/>
      </w:pPr>
      <w:r>
        <w:rPr>
          <w:sz w:val="20"/>
          <w:szCs w:val="20"/>
        </w:rPr>
        <w:t xml:space="preserve">Saulei, S. M. and Ellis, J.-A. (eds) (1997). </w:t>
      </w:r>
      <w:r>
        <w:rPr>
          <w:i/>
          <w:iCs/>
          <w:sz w:val="20"/>
          <w:szCs w:val="20"/>
        </w:rPr>
        <w:t>The Motupore Conference: ICAD Practitioners’ Views from the Field</w:t>
      </w:r>
      <w:r>
        <w:rPr>
          <w:sz w:val="20"/>
          <w:szCs w:val="20"/>
        </w:rPr>
        <w:t>. Report of the Second ICAD Conference, Motupore Island (UPNG), 1–5 September 1997. Department of Environment and Conservation / UNDP (PNG/93/G31).</w:t>
      </w:r>
    </w:p>
    <w:p w14:paraId="34BFD887" w14:textId="77777777" w:rsidR="00EA6E57" w:rsidRDefault="00000FEE">
      <w:pPr>
        <w:spacing w:after="100" w:line="264" w:lineRule="auto"/>
        <w:ind w:left="576" w:hanging="576"/>
      </w:pPr>
      <w:r>
        <w:rPr>
          <w:sz w:val="20"/>
          <w:szCs w:val="20"/>
        </w:rPr>
        <w:t xml:space="preserve">Sekhran, N. (1996). </w:t>
      </w:r>
      <w:r>
        <w:rPr>
          <w:i/>
          <w:iCs/>
          <w:sz w:val="20"/>
          <w:szCs w:val="20"/>
        </w:rPr>
        <w:t>Pursuing the ‘D’ in Integrated Conservation and Development Projects (ICADPs): Issues and Challenges for Papua New Guinea</w:t>
      </w:r>
      <w:r>
        <w:rPr>
          <w:sz w:val="20"/>
          <w:szCs w:val="20"/>
        </w:rPr>
        <w:t>. Rural Development Forestry Network Paper 19b. London: Overseas Development Institute.</w:t>
      </w:r>
    </w:p>
    <w:p w14:paraId="34BFD888" w14:textId="77777777" w:rsidR="00EA6E57" w:rsidRDefault="00000FEE">
      <w:pPr>
        <w:spacing w:after="100" w:line="264" w:lineRule="auto"/>
        <w:ind w:left="576" w:hanging="576"/>
      </w:pPr>
      <w:r>
        <w:rPr>
          <w:sz w:val="20"/>
          <w:szCs w:val="20"/>
        </w:rPr>
        <w:t xml:space="preserve">Sheil, D., Boissière, M. and Beaudoin, G. (2015). ‘Unseen sentinels: local monitoring and control in conservation’s blind spots.’ </w:t>
      </w:r>
      <w:r>
        <w:rPr>
          <w:i/>
          <w:iCs/>
          <w:sz w:val="20"/>
          <w:szCs w:val="20"/>
        </w:rPr>
        <w:t>Ecology and Society</w:t>
      </w:r>
      <w:r>
        <w:rPr>
          <w:sz w:val="20"/>
          <w:szCs w:val="20"/>
        </w:rPr>
        <w:t xml:space="preserve"> 20(2): 39.</w:t>
      </w:r>
    </w:p>
    <w:p w14:paraId="34BFD889" w14:textId="77777777" w:rsidR="00EA6E57" w:rsidRDefault="00000FEE">
      <w:pPr>
        <w:spacing w:after="100" w:line="264" w:lineRule="auto"/>
        <w:ind w:left="576" w:hanging="576"/>
      </w:pPr>
      <w:r>
        <w:rPr>
          <w:sz w:val="20"/>
          <w:szCs w:val="20"/>
        </w:rPr>
        <w:t xml:space="preserve">Zibe-Kokino, S. and Girard, B. (1997). ‘ICAD Management and Implementation: The Kamiali Experiences.’ In Saulei and Ellis (eds), </w:t>
      </w:r>
      <w:r>
        <w:rPr>
          <w:i/>
          <w:iCs/>
          <w:sz w:val="20"/>
          <w:szCs w:val="20"/>
        </w:rPr>
        <w:t>The Motupore Conference</w:t>
      </w:r>
      <w:r>
        <w:rPr>
          <w:sz w:val="20"/>
          <w:szCs w:val="20"/>
        </w:rPr>
        <w:t>.</w:t>
      </w:r>
    </w:p>
    <w:p w14:paraId="34BFD88A" w14:textId="77777777" w:rsidR="00EA6E57" w:rsidRDefault="00000FEE">
      <w:pPr>
        <w:pBdr>
          <w:top w:val="single" w:sz="8" w:space="6" w:color="1F5C2E"/>
        </w:pBdr>
        <w:spacing w:before="300"/>
      </w:pPr>
      <w:r>
        <w:rPr>
          <w:i/>
          <w:iCs/>
          <w:color w:val="444444"/>
          <w:sz w:val="18"/>
          <w:szCs w:val="18"/>
        </w:rPr>
        <w:t>This paper was prepared by CIFOR–ICRAF Papua New Guinea for the Managalas and Oro Province Project (MOPP), delivered under the EU Forestry, Climate Change and Biodiversity (EU–FCCB) Nexus Programme with the financial support of the European Union. The contents are the responsibility of the authors and do not necessarily reflect the views of the European Union.</w:t>
      </w:r>
    </w:p>
    <w:sectPr w:rsidR="00EA6E5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98573" w14:textId="77777777" w:rsidR="00000FEE" w:rsidRDefault="00000FEE">
      <w:r>
        <w:separator/>
      </w:r>
    </w:p>
  </w:endnote>
  <w:endnote w:type="continuationSeparator" w:id="0">
    <w:p w14:paraId="3B84D9A2" w14:textId="77777777" w:rsidR="00000FEE" w:rsidRDefault="00000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D88C" w14:textId="22342AB0" w:rsidR="00EA6E57" w:rsidRDefault="00000FEE">
    <w:pPr>
      <w:pBdr>
        <w:top w:val="single" w:sz="4" w:space="4" w:color="CCCCCC"/>
      </w:pBdr>
      <w:jc w:val="center"/>
    </w:pPr>
    <w:r>
      <w:rPr>
        <w:color w:val="888888"/>
        <w:sz w:val="16"/>
        <w:szCs w:val="16"/>
      </w:rPr>
      <w:t xml:space="preserve">Waves of Conservation in Papua New Guinea (v1)      Page </w:t>
    </w:r>
    <w:r>
      <w:rPr>
        <w:color w:val="888888"/>
        <w:sz w:val="16"/>
        <w:szCs w:val="16"/>
      </w:rPr>
      <w:fldChar w:fldCharType="begin"/>
    </w:r>
    <w:r>
      <w:rPr>
        <w:color w:val="888888"/>
        <w:sz w:val="16"/>
        <w:szCs w:val="16"/>
      </w:rPr>
      <w:instrText>PAGE</w:instrText>
    </w:r>
    <w:r>
      <w:rPr>
        <w:color w:val="888888"/>
        <w:sz w:val="16"/>
        <w:szCs w:val="16"/>
      </w:rPr>
      <w:fldChar w:fldCharType="separate"/>
    </w:r>
    <w:r w:rsidR="00560BDC">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560BDC">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417B5" w14:textId="77777777" w:rsidR="00000FEE" w:rsidRDefault="00000FEE">
      <w:r>
        <w:separator/>
      </w:r>
    </w:p>
  </w:footnote>
  <w:footnote w:type="continuationSeparator" w:id="0">
    <w:p w14:paraId="557E86A5" w14:textId="77777777" w:rsidR="00000FEE" w:rsidRDefault="00000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D88B" w14:textId="77777777" w:rsidR="00EA6E57" w:rsidRDefault="00000FEE">
    <w:pPr>
      <w:pBdr>
        <w:bottom w:val="single" w:sz="4" w:space="4" w:color="CCCCCC"/>
      </w:pBdr>
      <w:jc w:val="right"/>
    </w:pPr>
    <w:r>
      <w:rPr>
        <w:color w:val="888888"/>
        <w:sz w:val="16"/>
        <w:szCs w:val="16"/>
      </w:rPr>
      <w:t>MOPP  |  CIFOR–ICRAF PNG  |  EU–FCCB Nexus Programme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70FFE"/>
    <w:multiLevelType w:val="hybridMultilevel"/>
    <w:tmpl w:val="5A888FF4"/>
    <w:lvl w:ilvl="0" w:tplc="176A9694">
      <w:start w:val="1"/>
      <w:numFmt w:val="bullet"/>
      <w:lvlText w:val="●"/>
      <w:lvlJc w:val="left"/>
      <w:pPr>
        <w:ind w:left="720" w:hanging="360"/>
      </w:pPr>
    </w:lvl>
    <w:lvl w:ilvl="1" w:tplc="2FEA7148">
      <w:start w:val="1"/>
      <w:numFmt w:val="bullet"/>
      <w:lvlText w:val="○"/>
      <w:lvlJc w:val="left"/>
      <w:pPr>
        <w:ind w:left="1440" w:hanging="360"/>
      </w:pPr>
    </w:lvl>
    <w:lvl w:ilvl="2" w:tplc="5BC2BAE8">
      <w:start w:val="1"/>
      <w:numFmt w:val="bullet"/>
      <w:lvlText w:val="■"/>
      <w:lvlJc w:val="left"/>
      <w:pPr>
        <w:ind w:left="2160" w:hanging="360"/>
      </w:pPr>
    </w:lvl>
    <w:lvl w:ilvl="3" w:tplc="D57205E0">
      <w:start w:val="1"/>
      <w:numFmt w:val="bullet"/>
      <w:lvlText w:val="●"/>
      <w:lvlJc w:val="left"/>
      <w:pPr>
        <w:ind w:left="2880" w:hanging="360"/>
      </w:pPr>
    </w:lvl>
    <w:lvl w:ilvl="4" w:tplc="A94EC254">
      <w:start w:val="1"/>
      <w:numFmt w:val="bullet"/>
      <w:lvlText w:val="○"/>
      <w:lvlJc w:val="left"/>
      <w:pPr>
        <w:ind w:left="3600" w:hanging="360"/>
      </w:pPr>
    </w:lvl>
    <w:lvl w:ilvl="5" w:tplc="94D2ABAC">
      <w:start w:val="1"/>
      <w:numFmt w:val="bullet"/>
      <w:lvlText w:val="■"/>
      <w:lvlJc w:val="left"/>
      <w:pPr>
        <w:ind w:left="4320" w:hanging="360"/>
      </w:pPr>
    </w:lvl>
    <w:lvl w:ilvl="6" w:tplc="840081A8">
      <w:start w:val="1"/>
      <w:numFmt w:val="bullet"/>
      <w:lvlText w:val="●"/>
      <w:lvlJc w:val="left"/>
      <w:pPr>
        <w:ind w:left="5040" w:hanging="360"/>
      </w:pPr>
    </w:lvl>
    <w:lvl w:ilvl="7" w:tplc="770C78C2">
      <w:start w:val="1"/>
      <w:numFmt w:val="bullet"/>
      <w:lvlText w:val="●"/>
      <w:lvlJc w:val="left"/>
      <w:pPr>
        <w:ind w:left="5760" w:hanging="360"/>
      </w:pPr>
    </w:lvl>
    <w:lvl w:ilvl="8" w:tplc="2DE4025E">
      <w:start w:val="1"/>
      <w:numFmt w:val="bullet"/>
      <w:lvlText w:val="●"/>
      <w:lvlJc w:val="left"/>
      <w:pPr>
        <w:ind w:left="6480" w:hanging="360"/>
      </w:pPr>
    </w:lvl>
  </w:abstractNum>
  <w:num w:numId="1" w16cid:durableId="1684935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E57"/>
    <w:rsid w:val="00000FEE"/>
    <w:rsid w:val="000461AC"/>
    <w:rsid w:val="0017137C"/>
    <w:rsid w:val="00176636"/>
    <w:rsid w:val="001F4BA2"/>
    <w:rsid w:val="003B1F07"/>
    <w:rsid w:val="00560BDC"/>
    <w:rsid w:val="00695C5C"/>
    <w:rsid w:val="006C7976"/>
    <w:rsid w:val="007F637C"/>
    <w:rsid w:val="00802E4E"/>
    <w:rsid w:val="008D3066"/>
    <w:rsid w:val="00A95F77"/>
    <w:rsid w:val="00BA6245"/>
    <w:rsid w:val="00C90709"/>
    <w:rsid w:val="00D30BED"/>
    <w:rsid w:val="00EA6E5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FD844"/>
  <w15:docId w15:val="{81A0932B-300D-4F1C-AFDF-510BBDC69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6245"/>
    <w:pPr>
      <w:tabs>
        <w:tab w:val="center" w:pos="4513"/>
        <w:tab w:val="right" w:pos="9026"/>
      </w:tabs>
    </w:pPr>
  </w:style>
  <w:style w:type="character" w:customStyle="1" w:styleId="HeaderChar">
    <w:name w:val="Header Char"/>
    <w:basedOn w:val="DefaultParagraphFont"/>
    <w:link w:val="Header"/>
    <w:uiPriority w:val="99"/>
    <w:rsid w:val="00BA6245"/>
  </w:style>
  <w:style w:type="paragraph" w:styleId="Footer">
    <w:name w:val="footer"/>
    <w:basedOn w:val="Normal"/>
    <w:link w:val="FooterChar"/>
    <w:uiPriority w:val="99"/>
    <w:unhideWhenUsed/>
    <w:rsid w:val="00BA6245"/>
    <w:pPr>
      <w:tabs>
        <w:tab w:val="center" w:pos="4513"/>
        <w:tab w:val="right" w:pos="9026"/>
      </w:tabs>
    </w:pPr>
  </w:style>
  <w:style w:type="character" w:customStyle="1" w:styleId="FooterChar">
    <w:name w:val="Footer Char"/>
    <w:basedOn w:val="DefaultParagraphFont"/>
    <w:link w:val="Footer"/>
    <w:uiPriority w:val="99"/>
    <w:rsid w:val="00BA62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47e98d3-0e70-4db5-a56b-cae542e688be}" enabled="0" method="" siteId="{747e98d3-0e70-4db5-a56b-cae542e688be}"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9</Pages>
  <Words>4258</Words>
  <Characters>24275</Characters>
  <Application>Microsoft Office Word</Application>
  <DocSecurity>0</DocSecurity>
  <Lines>202</Lines>
  <Paragraphs>56</Paragraphs>
  <ScaleCrop>false</ScaleCrop>
  <Company/>
  <LinksUpToDate>false</LinksUpToDate>
  <CharactersWithSpaces>28477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Waves of Conservation in Papua New Guinea</dc:title>
  <dc:creator>CIFOR-ICRAF PNG</dc:creator>
  <dc:description>Background paper for the Practitioner Symposium, MOPP / EU-FCCB</dc:description>
  <cp:lastModifiedBy>Unsworth, William</cp:lastModifiedBy>
  <cp:revision>12</cp:revision>
  <dcterms:created xsi:type="dcterms:W3CDTF">2026-07-29T01:35:00Z</dcterms:created>
  <dcterms:modified xsi:type="dcterms:W3CDTF">2026-07-29T01:55:00Z</dcterms:modified>
</cp:coreProperties>
</file>