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2E" w:val="clear"/>
        <w:spacing w:after="0" w:before="400"/>
        <w:jc w:val="center"/>
      </w:pPr>
      <w:r>
        <w:rPr>
          <w:rFonts w:ascii="Arial" w:cs="Arial" w:eastAsia="Arial" w:hAnsi="Arial"/>
          <w:b/>
          <w:bCs/>
          <w:color w:val="FFFFFF"/>
          <w:sz w:val="52"/>
          <w:szCs w:val="52"/>
        </w:rPr>
        <w:t xml:space="preserve">SYMPOSIUM CONCEPT NOTE</w:t>
      </w:r>
    </w:p>
    <w:p>
      <w:pPr>
        <w:shd w:fill="1F5C2E" w:val="clear"/>
      </w:pPr>
      <w:r>
        <w:rPr>
          <w:rFonts w:ascii="Arial" w:cs="Arial" w:eastAsia="Arial" w:hAnsi="Arial"/>
          <w:color w:val="FFFFFF"/>
          <w:sz w:val="8"/>
          <w:szCs w:val="8"/>
        </w:rPr>
        <w:t xml:space="preserve"> </w:t>
      </w:r>
    </w:p>
    <w:p>
      <w:pPr>
        <w:shd w:fill="1F5C2E" w:val="clear"/>
        <w:spacing w:after="0" w:before="0"/>
        <w:jc w:val="center"/>
      </w:pPr>
      <w:r>
        <w:rPr>
          <w:rFonts w:ascii="Arial" w:cs="Arial" w:eastAsia="Arial" w:hAnsi="Arial"/>
          <w:b/>
          <w:bCs/>
          <w:color w:val="C9942A"/>
          <w:sz w:val="32"/>
          <w:szCs w:val="32"/>
        </w:rPr>
        <w:t xml:space="preserve">Conservation in the Context of Customary Land Ownership in Papua New Guinea</w:t>
      </w:r>
    </w:p>
    <w:p>
      <w:pPr>
        <w:shd w:fill="1F5C2E" w:val="clear"/>
      </w:pPr>
      <w:r>
        <w:rPr>
          <w:rFonts w:ascii="Arial" w:cs="Arial" w:eastAsia="Arial" w:hAnsi="Arial"/>
          <w:color w:val="FFFFFF"/>
          <w:sz w:val="8"/>
          <w:szCs w:val="8"/>
        </w:rPr>
        <w:t xml:space="preserve"> </w:t>
      </w:r>
    </w:p>
    <w:p>
      <w:pPr>
        <w:shd w:fill="1F5C2E" w:val="clear"/>
        <w:spacing w:after="0" w:before="0"/>
        <w:jc w:val="center"/>
      </w:pPr>
      <w:r>
        <w:rPr>
          <w:rFonts w:ascii="Arial" w:cs="Arial" w:eastAsia="Arial" w:hAnsi="Arial"/>
          <w:i/>
          <w:iCs/>
          <w:color w:val="D6EAD9"/>
          <w:sz w:val="24"/>
          <w:szCs w:val="24"/>
        </w:rPr>
        <w:t xml:space="preserve">A Practitioner Symposium | Popondetta, Oro Province, PNG</w:t>
      </w:r>
    </w:p>
    <w:p>
      <w:pPr>
        <w:shd w:fill="1F5C2E" w:val="clear"/>
        <w:spacing w:after="400" w:before="200"/>
        <w:jc w:val="center"/>
      </w:pPr>
      <w:r>
        <w:rPr>
          <w:rFonts w:ascii="Arial" w:cs="Arial" w:eastAsia="Arial" w:hAnsi="Arial"/>
          <w:color w:val="AAAAAA"/>
          <w:sz w:val="20"/>
          <w:szCs w:val="20"/>
        </w:rPr>
        <w:t xml:space="preserve">Funded by the European Union  |  Implemented by CIFOR-ICRAF</w:t>
      </w:r>
    </w:p>
    <w:p>
      <w:pPr>
        <w:spacing w:after="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5C2E" w:sz="6"/>
              <w:left w:val="single" w:color="1F5C2E" w:sz="6"/>
              <w:bottom w:val="single" w:color="1F5C2E" w:sz="6"/>
              <w:right w:val="single" w:color="1F5C2E" w:sz="6"/>
            </w:tcBorders>
            <w:shd w:fill="D6EAD9" w:val="clear"/>
            <w:tcMar>
              <w:top w:type="dxa" w:w="160"/>
              <w:left w:type="dxa" w:w="240"/>
              <w:bottom w:type="dxa" w:w="160"/>
              <w:right w:type="dxa" w:w="240"/>
            </w:tcMar>
          </w:tcPr>
          <w:p>
            <w:pPr>
              <w:spacing w:after="60" w:before="60"/>
            </w:pPr>
            <w:r>
              <w:rPr>
                <w:rFonts w:ascii="Arial" w:cs="Arial" w:eastAsia="Arial" w:hAnsi="Arial"/>
                <w:color w:val="1F5C2E"/>
                <w:sz w:val="22"/>
                <w:szCs w:val="22"/>
              </w:rPr>
              <w:t xml:space="preserve">Proposed dates:        [Month] 2025 — two consecutive days</w:t>
            </w:r>
          </w:p>
          <w:p>
            <w:pPr>
              <w:spacing w:after="60" w:before="60"/>
            </w:pPr>
            <w:r>
              <w:rPr>
                <w:rFonts w:ascii="Arial" w:cs="Arial" w:eastAsia="Arial" w:hAnsi="Arial"/>
                <w:color w:val="1F5C2E"/>
                <w:sz w:val="22"/>
                <w:szCs w:val="22"/>
              </w:rPr>
              <w:t xml:space="preserve">                                Day 1: Structured Presentations  |  Day 2: Open Deliberation</w:t>
            </w:r>
          </w:p>
          <w:p>
            <w:pPr>
              <w:spacing w:after="60" w:before="60"/>
            </w:pPr>
            <w:r>
              <w:rPr>
                <w:rFonts w:ascii="Arial" w:cs="Arial" w:eastAsia="Arial" w:hAnsi="Arial"/>
                <w:color w:val="1F5C2E"/>
                <w:sz w:val="22"/>
                <w:szCs w:val="22"/>
              </w:rPr>
              <w:t xml:space="preserve">Venue:                        Kokoda Track Authority Hall or Oro Province Government Conference Centre, Popondetta</w:t>
            </w:r>
          </w:p>
          <w:p>
            <w:pPr>
              <w:spacing w:after="60" w:before="60"/>
            </w:pPr>
            <w:r>
              <w:rPr>
                <w:rFonts w:ascii="Arial" w:cs="Arial" w:eastAsia="Arial" w:hAnsi="Arial"/>
                <w:color w:val="1F5C2E"/>
                <w:sz w:val="22"/>
                <w:szCs w:val="22"/>
              </w:rPr>
              <w:t xml:space="preserve">Funder:                       European Union — Forestry, Climate Change and Biodiversity (FCCB) Nexus Programme</w:t>
            </w:r>
          </w:p>
          <w:p>
            <w:pPr>
              <w:spacing w:after="60" w:before="60"/>
            </w:pPr>
            <w:r>
              <w:rPr>
                <w:rFonts w:ascii="Arial" w:cs="Arial" w:eastAsia="Arial" w:hAnsi="Arial"/>
                <w:color w:val="1F5C2E"/>
                <w:sz w:val="22"/>
                <w:szCs w:val="22"/>
              </w:rPr>
              <w:t xml:space="preserve">Implementing org:   CIFOR-ICRAF Papua New Guinea</w:t>
            </w:r>
          </w:p>
          <w:p>
            <w:pPr>
              <w:spacing w:after="60" w:before="60"/>
            </w:pPr>
            <w:r>
              <w:rPr>
                <w:rFonts w:ascii="Arial" w:cs="Arial" w:eastAsia="Arial" w:hAnsi="Arial"/>
                <w:color w:val="1F5C2E"/>
                <w:sz w:val="22"/>
                <w:szCs w:val="22"/>
              </w:rPr>
              <w:t xml:space="preserve">Contact:                      Will Unsworth, Country Manager, CIFOR-ICRAF PNG</w:t>
            </w:r>
          </w:p>
        </w:tc>
      </w:tr>
    </w:tbl>
    <w:p>
      <w:pPr>
        <w:spacing w:after="0" w:before="600"/>
      </w:pPr>
    </w:p>
    <w:p>
      <w:pPr>
        <w:shd w:fill="1F5C2E" w:val="clear"/>
        <w:spacing w:after="0" w:before="0"/>
      </w:pPr>
      <w:r>
        <w:rPr>
          <w:rFonts w:ascii="Arial" w:cs="Arial" w:eastAsia="Arial" w:hAnsi="Arial"/>
          <w:b/>
          <w:bCs/>
          <w:color w:val="FFFFFF"/>
          <w:sz w:val="36"/>
          <w:szCs w:val="36"/>
        </w:rPr>
        <w:t xml:space="preserve">PART I — CONCEPT NOTE</w:t>
      </w:r>
    </w:p>
    <w:p>
      <w:pPr>
        <w:shd w:fill="1F5C2E" w:val="clear"/>
      </w:pPr>
      <w:r>
        <w:rPr>
          <w:rFonts w:ascii="Arial" w:cs="Arial" w:eastAsia="Arial" w:hAnsi="Arial"/>
          <w:color w:val="FFFFFF"/>
          <w:sz w:val="8"/>
          <w:szCs w:val="8"/>
        </w:rPr>
        <w:t xml:space="preserve"> </w:t>
      </w:r>
    </w:p>
    <w:p>
      <w:pPr>
        <w:spacing w:after="0" w:before="200"/>
      </w:pPr>
    </w:p>
    <w:p>
      <w:pPr>
        <w:pStyle w:val="Heading1"/>
      </w:pPr>
      <w:r>
        <w:rPr>
          <w:rFonts w:ascii="Arial" w:cs="Arial" w:eastAsia="Arial" w:hAnsi="Arial"/>
          <w:b/>
          <w:bCs/>
          <w:color w:val="1F5C2E"/>
          <w:sz w:val="28"/>
          <w:szCs w:val="28"/>
        </w:rPr>
        <w:t xml:space="preserve">1. Background and Rationale</w:t>
      </w:r>
    </w:p>
    <w:p>
      <w:pPr>
        <w:pBdr>
          <w:bottom w:val="single" w:color="1F5C2E" w:sz="12" w:space="1"/>
        </w:pBdr>
        <w:spacing w:after="200" w:before="0"/>
      </w:pPr>
    </w:p>
    <w:p>
      <w:pPr>
        <w:spacing w:after="120" w:before="80"/>
        <w:jc w:val="both"/>
      </w:pPr>
      <w:r>
        <w:rPr>
          <w:rFonts w:ascii="Arial" w:cs="Arial" w:eastAsia="Arial" w:hAnsi="Arial"/>
          <w:color w:val="555555"/>
          <w:sz w:val="22"/>
          <w:szCs w:val="22"/>
        </w:rPr>
        <w:t xml:space="preserve">The Kunming-Montreal Global Biodiversity Framework (GBF), adopted in December 2022, commits signatory nations — including Papua New Guinea — to bringing 30% of land and ocean under effective conservation by 2030 (Target 3, commonly referred to as 30x30). For most countries, reaching this target requires a significant expansion of the protected area estate. For Papua New Guinea, the challenge is categorically different: an estimated 97% of the country's land is held under customary ownership, meaning that achieving 30x30 in a PNG context requires conservation to be negotiated with, and ultimately owned by, customary landowners — not imposed through government declaration on state land.</w:t>
      </w:r>
    </w:p>
    <w:p>
      <w:pPr>
        <w:spacing w:after="120" w:before="80"/>
        <w:jc w:val="both"/>
      </w:pPr>
      <w:r>
        <w:rPr>
          <w:rFonts w:ascii="Arial" w:cs="Arial" w:eastAsia="Arial" w:hAnsi="Arial"/>
          <w:color w:val="555555"/>
          <w:sz w:val="22"/>
          <w:szCs w:val="22"/>
        </w:rPr>
        <w:t xml:space="preserve">PNG currently has formal protected area coverage of approximately 4% of its terrestrial area, with only one large conservation area gazetted since 2010 — the Managalas Conservation Area (MCA) in Oro Province, declared in 2017 after three decades of community engagement. The MCA covers 214,696 hectares, making it the largest conservation area in the country. The gap between PNG's current protected area coverage and the 30x30 target is vast. Closing that gap will require conservation approaches that work within the customary land system — not around it. This symposium is convened to ask, from a practitioner perspective: what needs to change for conservation in PNG to run more smoothly, and at sufficient scale to contribute meaningfully to 30x30?</w:t>
      </w:r>
    </w:p>
    <w:p>
      <w:pPr>
        <w:spacing w:after="120" w:before="80"/>
        <w:jc w:val="both"/>
      </w:pPr>
      <w:r>
        <w:rPr>
          <w:rFonts w:ascii="Arial" w:cs="Arial" w:eastAsia="Arial" w:hAnsi="Arial"/>
          <w:color w:val="555555"/>
          <w:sz w:val="22"/>
          <w:szCs w:val="22"/>
        </w:rPr>
        <w:t xml:space="preserve">From the 1980s through the 2000s, Integrated Conservation and Development Projects (ICDPs) became the dominant framework for addressing conservation-livelihood trade-offs in PNG and across the Indo-Pacific. The underlying assumption — that providing alternative livelihoods to forest-dependent communities would reduce pressure on biodiversity — generated a substantial body of practitioner experience, not all of it encouraging. The ICAD (Integrated Conservation and Development Area) instrument, established under PNG's Conservation Areas Act, represented a domestication of this approach within PNG's legal framework. Several ICADs and Wildlife Management Areas (WMAs) have now been operational for decades, and the organisations that have worked in and around them have accumulated practitioner knowledge that has never been systematically brought together.</w:t>
      </w:r>
    </w:p>
    <w:p>
      <w:pPr>
        <w:spacing w:after="120" w:before="80"/>
        <w:jc w:val="both"/>
      </w:pPr>
      <w:r>
        <w:rPr>
          <w:rFonts w:ascii="Arial" w:cs="Arial" w:eastAsia="Arial" w:hAnsi="Arial"/>
          <w:color w:val="555555"/>
          <w:sz w:val="22"/>
          <w:szCs w:val="22"/>
        </w:rPr>
        <w:t xml:space="preserve">Despite the richness of this accumulated experience, there is no established forum in which conservation practitioners — those who have worked directly with customary landowners, government agencies, NGOs, and donor programmes across PNG — reflect systematically on what has and has not worked, and why. Published literature on PNG conservation is thin relative to the breadth and duration of field experience. Much institutional memory remains informal and dispersed. This symposium addresses that gap directly.</w:t>
      </w:r>
    </w:p>
    <w:p>
      <w:pPr>
        <w:spacing w:after="0" w:before="160"/>
      </w:pPr>
    </w:p>
    <w:p>
      <w:pPr>
        <w:pStyle w:val="Heading1"/>
      </w:pPr>
      <w:r>
        <w:rPr>
          <w:rFonts w:ascii="Arial" w:cs="Arial" w:eastAsia="Arial" w:hAnsi="Arial"/>
          <w:b/>
          <w:bCs/>
          <w:color w:val="1F5C2E"/>
          <w:sz w:val="28"/>
          <w:szCs w:val="28"/>
        </w:rPr>
        <w:t xml:space="preserve">2. Symposium Objectives</w:t>
      </w:r>
    </w:p>
    <w:p>
      <w:pPr>
        <w:pBdr>
          <w:bottom w:val="single" w:color="1F5C2E" w:sz="12" w:space="1"/>
        </w:pBdr>
        <w:spacing w:after="200" w:before="0"/>
      </w:pPr>
    </w:p>
    <w:p>
      <w:pPr>
        <w:spacing w:after="120" w:before="80"/>
        <w:jc w:val="both"/>
      </w:pPr>
      <w:r>
        <w:rPr>
          <w:rFonts w:ascii="Arial" w:cs="Arial" w:eastAsia="Arial" w:hAnsi="Arial"/>
          <w:color w:val="555555"/>
          <w:sz w:val="22"/>
          <w:szCs w:val="22"/>
        </w:rPr>
        <w:t xml:space="preserve">The proposed symposium has the following primary objectives:</w:t>
      </w:r>
    </w:p>
    <w:p>
      <w:pPr>
        <w:pStyle w:val="ListParagraph"/>
        <w:numPr>
          <w:ilvl w:val="0"/>
          <w:numId w:val="2"/>
        </w:numPr>
        <w:spacing w:after="80" w:before="40"/>
      </w:pPr>
      <w:r>
        <w:rPr>
          <w:rFonts w:ascii="Arial" w:cs="Arial" w:eastAsia="Arial" w:hAnsi="Arial"/>
          <w:color w:val="555555"/>
          <w:sz w:val="22"/>
          <w:szCs w:val="22"/>
        </w:rPr>
        <w:t xml:space="preserve">To bring together conservation practitioners with direct field experience in PNG to share lessons from past and current projects, with particular focus on ICDP/ICAD/WMA models and the realities of customary land tenure.</w:t>
      </w:r>
    </w:p>
    <w:p>
      <w:pPr>
        <w:pStyle w:val="ListParagraph"/>
        <w:numPr>
          <w:ilvl w:val="0"/>
          <w:numId w:val="2"/>
        </w:numPr>
        <w:spacing w:after="80" w:before="40"/>
      </w:pPr>
      <w:r>
        <w:rPr>
          <w:rFonts w:ascii="Arial" w:cs="Arial" w:eastAsia="Arial" w:hAnsi="Arial"/>
          <w:color w:val="555555"/>
          <w:sz w:val="22"/>
          <w:szCs w:val="22"/>
        </w:rPr>
        <w:t xml:space="preserve">To generate practitioner evidence that can inform PNG's national pathway toward the Kunming-Montreal 30x30 target — specifically, what enabling conditions, institutional arrangements, and financing mechanisms are required for conservation to scale under customary ownership.</w:t>
      </w:r>
    </w:p>
    <w:p>
      <w:pPr>
        <w:pStyle w:val="ListParagraph"/>
        <w:numPr>
          <w:ilvl w:val="0"/>
          <w:numId w:val="2"/>
        </w:numPr>
        <w:spacing w:after="80" w:before="40"/>
      </w:pPr>
      <w:r>
        <w:rPr>
          <w:rFonts w:ascii="Arial" w:cs="Arial" w:eastAsia="Arial" w:hAnsi="Arial"/>
          <w:color w:val="555555"/>
          <w:sz w:val="22"/>
          <w:szCs w:val="22"/>
        </w:rPr>
        <w:t xml:space="preserve">To establish a structured forum for critical reflection on what approaches have worked, under what conditions, and for whom — with explicit attention to the gap between project design assumptions and implementation realities.</w:t>
      </w:r>
    </w:p>
    <w:p>
      <w:pPr>
        <w:pStyle w:val="ListParagraph"/>
        <w:numPr>
          <w:ilvl w:val="0"/>
          <w:numId w:val="2"/>
        </w:numPr>
        <w:spacing w:after="80" w:before="40"/>
      </w:pPr>
      <w:r>
        <w:rPr>
          <w:rFonts w:ascii="Arial" w:cs="Arial" w:eastAsia="Arial" w:hAnsi="Arial"/>
          <w:color w:val="555555"/>
          <w:sz w:val="22"/>
          <w:szCs w:val="22"/>
        </w:rPr>
        <w:t xml:space="preserve">To surface practitioner consensus on priorities for the next generation of conservation programming in PNG, including governance reform, financing models, community engagement approaches, and the role of research institutions.</w:t>
      </w:r>
    </w:p>
    <w:p>
      <w:pPr>
        <w:pStyle w:val="ListParagraph"/>
        <w:numPr>
          <w:ilvl w:val="0"/>
          <w:numId w:val="2"/>
        </w:numPr>
        <w:spacing w:after="80" w:before="40"/>
      </w:pPr>
      <w:r>
        <w:rPr>
          <w:rFonts w:ascii="Arial" w:cs="Arial" w:eastAsia="Arial" w:hAnsi="Arial"/>
          <w:color w:val="555555"/>
          <w:sz w:val="22"/>
          <w:szCs w:val="22"/>
        </w:rPr>
        <w:t xml:space="preserve">To generate peer-reviewed knowledge from practitioner experience, contributing to the thin published literature on PNG conservation and providing an evidence base for policy advocacy.</w:t>
      </w:r>
    </w:p>
    <w:p>
      <w:pPr>
        <w:spacing w:after="0" w:before="160"/>
      </w:pPr>
    </w:p>
    <w:p>
      <w:pPr>
        <w:pStyle w:val="Heading1"/>
      </w:pPr>
      <w:r>
        <w:rPr>
          <w:rFonts w:ascii="Arial" w:cs="Arial" w:eastAsia="Arial" w:hAnsi="Arial"/>
          <w:b/>
          <w:bCs/>
          <w:color w:val="1F5C2E"/>
          <w:sz w:val="28"/>
          <w:szCs w:val="28"/>
        </w:rPr>
        <w:t xml:space="preserve">3. Thematic Focus</w:t>
      </w:r>
    </w:p>
    <w:p>
      <w:pPr>
        <w:pBdr>
          <w:bottom w:val="single" w:color="1F5C2E" w:sz="12" w:space="1"/>
        </w:pBdr>
        <w:spacing w:after="200" w:before="0"/>
      </w:pPr>
    </w:p>
    <w:p>
      <w:pPr>
        <w:spacing w:after="120" w:before="80"/>
        <w:jc w:val="both"/>
      </w:pPr>
      <w:r>
        <w:rPr>
          <w:rFonts w:ascii="Arial" w:cs="Arial" w:eastAsia="Arial" w:hAnsi="Arial"/>
          <w:color w:val="555555"/>
          <w:sz w:val="22"/>
          <w:szCs w:val="22"/>
        </w:rPr>
        <w:t xml:space="preserve">The symposium is organised around five interconnected themes, which structure both the presentation day and the open discussion day:</w:t>
      </w:r>
    </w:p>
    <w:p>
      <w:pPr>
        <w:spacing w:after="0" w:before="160"/>
      </w:pPr>
    </w:p>
    <w:p>
      <w:pPr>
        <w:pStyle w:val="Heading2"/>
      </w:pPr>
      <w:r>
        <w:rPr>
          <w:rFonts w:ascii="Arial" w:cs="Arial" w:eastAsia="Arial" w:hAnsi="Arial"/>
          <w:b/>
          <w:bCs/>
          <w:color w:val="2E7D44"/>
          <w:sz w:val="24"/>
          <w:szCs w:val="24"/>
        </w:rPr>
        <w:t xml:space="preserve">Theme 1 — The Customary Land Question and the 30x30 Challenge</w:t>
      </w:r>
    </w:p>
    <w:p>
      <w:pPr>
        <w:spacing w:after="120" w:before="80"/>
        <w:jc w:val="both"/>
      </w:pPr>
      <w:r>
        <w:rPr>
          <w:rFonts w:ascii="Arial" w:cs="Arial" w:eastAsia="Arial" w:hAnsi="Arial"/>
          <w:color w:val="555555"/>
          <w:sz w:val="22"/>
          <w:szCs w:val="22"/>
        </w:rPr>
        <w:t xml:space="preserve">How does customary ownership shape the terms under which conservation is possible in PNG, and what would achieving 30x30 actually require? What governance and legal mechanisms — including the ICAD and WMA frameworks — have been most effective in negotiating durable conservation commitments with landowning clans? Where have tenure disputes undermined conservation outcomes, and how were they resolved or not?</w:t>
      </w:r>
    </w:p>
    <w:p>
      <w:pPr>
        <w:pStyle w:val="Heading2"/>
      </w:pPr>
      <w:r>
        <w:rPr>
          <w:rFonts w:ascii="Arial" w:cs="Arial" w:eastAsia="Arial" w:hAnsi="Arial"/>
          <w:b/>
          <w:bCs/>
          <w:color w:val="2E7D44"/>
          <w:sz w:val="24"/>
          <w:szCs w:val="24"/>
        </w:rPr>
        <w:t xml:space="preserve">Theme 2 — ICDP/ICAD/WMA Legacy: What the Evidence Shows</w:t>
      </w:r>
    </w:p>
    <w:p>
      <w:pPr>
        <w:spacing w:after="120" w:before="80"/>
        <w:jc w:val="both"/>
      </w:pPr>
      <w:r>
        <w:rPr>
          <w:rFonts w:ascii="Arial" w:cs="Arial" w:eastAsia="Arial" w:hAnsi="Arial"/>
          <w:color w:val="555555"/>
          <w:sz w:val="22"/>
          <w:szCs w:val="22"/>
        </w:rPr>
        <w:t xml:space="preserve">A critical retrospective on integrated conservation and development approaches in PNG: the assumptions behind the model, where those assumptions held, where they did not, and the structural factors — funding cycles, external dependency, elite capture, demographic change — that have conditioned outcomes. Contributors are invited to draw on direct programme experience as well as any documented evaluations.</w:t>
      </w:r>
    </w:p>
    <w:p>
      <w:pPr>
        <w:pStyle w:val="Heading2"/>
      </w:pPr>
      <w:r>
        <w:rPr>
          <w:rFonts w:ascii="Arial" w:cs="Arial" w:eastAsia="Arial" w:hAnsi="Arial"/>
          <w:b/>
          <w:bCs/>
          <w:color w:val="2E7D44"/>
          <w:sz w:val="24"/>
          <w:szCs w:val="24"/>
        </w:rPr>
        <w:t xml:space="preserve">Theme 3 — Community Engagement, Consent, and Ownership of Conservation</w:t>
      </w:r>
    </w:p>
    <w:p>
      <w:pPr>
        <w:spacing w:after="120" w:before="80"/>
        <w:jc w:val="both"/>
      </w:pPr>
      <w:r>
        <w:rPr>
          <w:rFonts w:ascii="Arial" w:cs="Arial" w:eastAsia="Arial" w:hAnsi="Arial"/>
          <w:color w:val="555555"/>
          <w:sz w:val="22"/>
          <w:szCs w:val="22"/>
        </w:rPr>
        <w:t xml:space="preserve">Conservation in a customary land context requires genuine community ownership — not simply consent at project inception. What methodologies have practitioners found effective in building durable community engagement? How have gender dynamics, clan politics, and generational change affected long-term commitment? What does meaningful Free, Prior and Informed Consent look like in practice in PNG?</w:t>
      </w:r>
    </w:p>
    <w:p>
      <w:pPr>
        <w:pStyle w:val="Heading2"/>
      </w:pPr>
      <w:r>
        <w:rPr>
          <w:rFonts w:ascii="Arial" w:cs="Arial" w:eastAsia="Arial" w:hAnsi="Arial"/>
          <w:b/>
          <w:bCs/>
          <w:color w:val="2E7D44"/>
          <w:sz w:val="24"/>
          <w:szCs w:val="24"/>
        </w:rPr>
        <w:t xml:space="preserve">Theme 4 — Livelihoods, Finance, and the Economics of Conservation</w:t>
      </w:r>
    </w:p>
    <w:p>
      <w:pPr>
        <w:spacing w:after="120" w:before="80"/>
        <w:jc w:val="both"/>
      </w:pPr>
      <w:r>
        <w:rPr>
          <w:rFonts w:ascii="Arial" w:cs="Arial" w:eastAsia="Arial" w:hAnsi="Arial"/>
          <w:color w:val="555555"/>
          <w:sz w:val="22"/>
          <w:szCs w:val="22"/>
        </w:rPr>
        <w:t xml:space="preserve">For conservation to be durable under customary land, it must make economic sense to landowners over time horizons that exceed typical project cycles. What livelihood models have proved viable alongside conservation objectives? How have REDD+, payments for ecosystem services, benefit-sharing arrangements, and conservation trust funds fared in PNG? What role can non-timber forest products, ecotourism, and sustainable agriculture play?</w:t>
      </w:r>
    </w:p>
    <w:p>
      <w:pPr>
        <w:pStyle w:val="Heading2"/>
      </w:pPr>
      <w:r>
        <w:rPr>
          <w:rFonts w:ascii="Arial" w:cs="Arial" w:eastAsia="Arial" w:hAnsi="Arial"/>
          <w:b/>
          <w:bCs/>
          <w:color w:val="2E7D44"/>
          <w:sz w:val="24"/>
          <w:szCs w:val="24"/>
        </w:rPr>
        <w:t xml:space="preserve">Theme 5 — Governance, Institutions, and the Enabling Environment</w:t>
      </w:r>
    </w:p>
    <w:p>
      <w:pPr>
        <w:spacing w:after="120" w:before="80"/>
        <w:jc w:val="both"/>
      </w:pPr>
      <w:r>
        <w:rPr>
          <w:rFonts w:ascii="Arial" w:cs="Arial" w:eastAsia="Arial" w:hAnsi="Arial"/>
          <w:color w:val="555555"/>
          <w:sz w:val="22"/>
          <w:szCs w:val="22"/>
        </w:rPr>
        <w:t xml:space="preserve">Conservation in PNG does not occur in an institutional vacuum. Provincial governments, CEPA, district authorities, local-level governments, and customary governance structures all intersect. What role have each of these played in enabling or constraining conservation outcomes? What institutional reform would most improve the enabling environment for conservation at the scale 30x30 requires?</w:t>
      </w:r>
    </w:p>
    <w:p>
      <w:pPr>
        <w:spacing w:after="0" w:before="160"/>
      </w:pPr>
    </w:p>
    <w:p>
      <w:pPr>
        <w:pStyle w:val="Heading1"/>
      </w:pPr>
      <w:r>
        <w:rPr>
          <w:rFonts w:ascii="Arial" w:cs="Arial" w:eastAsia="Arial" w:hAnsi="Arial"/>
          <w:b/>
          <w:bCs/>
          <w:color w:val="1F5C2E"/>
          <w:sz w:val="28"/>
          <w:szCs w:val="28"/>
        </w:rPr>
        <w:t xml:space="preserve">4. Intended Outputs</w:t>
      </w:r>
    </w:p>
    <w:p>
      <w:pPr>
        <w:pBdr>
          <w:bottom w:val="single" w:color="1F5C2E" w:sz="12" w:space="1"/>
        </w:pBdr>
        <w:spacing w:after="200" w:before="0"/>
      </w:pPr>
    </w:p>
    <w:p>
      <w:pPr>
        <w:spacing w:after="120" w:before="80"/>
        <w:jc w:val="both"/>
      </w:pPr>
      <w:r>
        <w:rPr>
          <w:rFonts w:ascii="Arial" w:cs="Arial" w:eastAsia="Arial" w:hAnsi="Arial"/>
          <w:color w:val="555555"/>
          <w:sz w:val="22"/>
          <w:szCs w:val="22"/>
        </w:rPr>
        <w:t xml:space="preserve">The symposium will produce the following outputs:</w:t>
      </w:r>
    </w:p>
    <w:p>
      <w:pPr>
        <w:pStyle w:val="ListParagraph"/>
        <w:numPr>
          <w:ilvl w:val="0"/>
          <w:numId w:val="2"/>
        </w:numPr>
        <w:spacing w:after="80" w:before="40"/>
      </w:pPr>
      <w:r>
        <w:rPr>
          <w:rFonts w:ascii="Arial" w:cs="Arial" w:eastAsia="Arial" w:hAnsi="Arial"/>
          <w:color w:val="555555"/>
          <w:sz w:val="22"/>
          <w:szCs w:val="22"/>
        </w:rPr>
        <w:t xml:space="preserve">Proceedings document: a structured summary of presentations and discussion, prepared by CIFOR-ICRAF and circulated to participants for review within 60 days of the event.</w:t>
      </w:r>
    </w:p>
    <w:p>
      <w:pPr>
        <w:pStyle w:val="ListParagraph"/>
        <w:numPr>
          <w:ilvl w:val="0"/>
          <w:numId w:val="2"/>
        </w:numPr>
        <w:spacing w:after="80" w:before="40"/>
      </w:pPr>
      <w:r>
        <w:rPr>
          <w:rFonts w:ascii="Arial" w:cs="Arial" w:eastAsia="Arial" w:hAnsi="Arial"/>
          <w:color w:val="555555"/>
          <w:sz w:val="22"/>
          <w:szCs w:val="22"/>
        </w:rPr>
        <w:t xml:space="preserve">Practitioner Statement on Conservation in PNG: a consensus statement drafted by participants on Day 2, identifying priorities for research, policy, and programme design in support of PNG's 30x30 pathway.</w:t>
      </w:r>
    </w:p>
    <w:p>
      <w:pPr>
        <w:pStyle w:val="ListParagraph"/>
        <w:numPr>
          <w:ilvl w:val="0"/>
          <w:numId w:val="2"/>
        </w:numPr>
        <w:spacing w:after="80" w:before="40"/>
      </w:pPr>
      <w:r>
        <w:rPr>
          <w:rFonts w:ascii="Arial" w:cs="Arial" w:eastAsia="Arial" w:hAnsi="Arial"/>
          <w:color w:val="555555"/>
          <w:sz w:val="22"/>
          <w:szCs w:val="22"/>
        </w:rPr>
        <w:t xml:space="preserve">Peer-reviewed journal article: the findings and perspectives emerging from the symposium will be synthesised into a peer-reviewed article for submission to a relevant conservation or policy journal. All participants who contribute substantively will be acknowledged; key contributors will be invited to co-author. The working title is 'Practitioner Views on Conservation Approaches in Papua New Guinea'.</w:t>
      </w:r>
    </w:p>
    <w:p>
      <w:pPr>
        <w:pStyle w:val="ListParagraph"/>
        <w:numPr>
          <w:ilvl w:val="0"/>
          <w:numId w:val="2"/>
        </w:numPr>
        <w:spacing w:after="80" w:before="40"/>
      </w:pPr>
      <w:r>
        <w:rPr>
          <w:rFonts w:ascii="Arial" w:cs="Arial" w:eastAsia="Arial" w:hAnsi="Arial"/>
          <w:color w:val="555555"/>
          <w:sz w:val="22"/>
          <w:szCs w:val="22"/>
        </w:rPr>
        <w:t xml:space="preserve">PNG Conservation Practitioners Network: the symposium will serve as the inaugural convening of an informal network, to be sustained through an email list and periodic gatherings where funding permits.</w:t>
      </w:r>
    </w:p>
    <w:p>
      <w:pPr>
        <w:pStyle w:val="ListParagraph"/>
        <w:numPr>
          <w:ilvl w:val="0"/>
          <w:numId w:val="2"/>
        </w:numPr>
        <w:spacing w:after="80" w:before="40"/>
      </w:pPr>
      <w:r>
        <w:rPr>
          <w:rFonts w:ascii="Arial" w:cs="Arial" w:eastAsia="Arial" w:hAnsi="Arial"/>
          <w:color w:val="555555"/>
          <w:sz w:val="22"/>
          <w:szCs w:val="22"/>
        </w:rPr>
        <w:t xml:space="preserve">Donor briefing note on conservation planning funding: a short note for donors and funding partners setting out the resourcing required for the planning and consent-building phase that necessarily precedes the establishment of a conservation area — the long, early-stage work on which later success depends and which is easily under-funded.</w:t>
      </w:r>
    </w:p>
    <w:p>
      <w:pPr>
        <w:spacing w:after="0" w:before="160"/>
      </w:pPr>
    </w:p>
    <w:p>
      <w:pPr>
        <w:pStyle w:val="Heading1"/>
      </w:pPr>
      <w:r>
        <w:rPr>
          <w:rFonts w:ascii="Arial" w:cs="Arial" w:eastAsia="Arial" w:hAnsi="Arial"/>
          <w:b/>
          <w:bCs/>
          <w:color w:val="1F5C2E"/>
          <w:sz w:val="28"/>
          <w:szCs w:val="28"/>
        </w:rPr>
        <w:t xml:space="preserve">5. Format and Structure</w:t>
      </w:r>
    </w:p>
    <w:p>
      <w:pPr>
        <w:pBdr>
          <w:bottom w:val="single" w:color="1F5C2E" w:sz="12" w:space="1"/>
        </w:pBdr>
        <w:spacing w:after="200" w:before="0"/>
      </w:pPr>
    </w:p>
    <w:p>
      <w:pPr>
        <w:spacing w:after="120" w:before="80"/>
        <w:jc w:val="both"/>
      </w:pPr>
      <w:r>
        <w:rPr>
          <w:rFonts w:ascii="Arial" w:cs="Arial" w:eastAsia="Arial" w:hAnsi="Arial"/>
          <w:color w:val="555555"/>
          <w:sz w:val="22"/>
          <w:szCs w:val="22"/>
        </w:rPr>
        <w:t xml:space="preserve">The symposium runs over two consecutive days with distinct but complementary formats. Day 1 consists of structured presentations of 15 minutes each, followed by 5 minutes of questions. Thematic discussion sessions of 25 minutes are built in before each break, allowing presenters and participants to engage collectively across the themes covered in each session block. Day 2 uses facilitated open-space and structured dialogue methods to move from individual perspectives to collective reflection and consensus-building.</w:t>
      </w:r>
    </w:p>
    <w:p>
      <w:pPr>
        <w:spacing w:after="0" w:before="160"/>
      </w:pPr>
    </w:p>
    <w:p>
      <w:pPr>
        <w:pStyle w:val="Heading1"/>
      </w:pPr>
      <w:r>
        <w:rPr>
          <w:rFonts w:ascii="Arial" w:cs="Arial" w:eastAsia="Arial" w:hAnsi="Arial"/>
          <w:b/>
          <w:bCs/>
          <w:color w:val="1F5C2E"/>
          <w:sz w:val="28"/>
          <w:szCs w:val="28"/>
        </w:rPr>
        <w:t xml:space="preserve">6. Ethical and Research Considerations</w:t>
      </w:r>
    </w:p>
    <w:p>
      <w:pPr>
        <w:pBdr>
          <w:bottom w:val="single" w:color="1F5C2E" w:sz="12" w:space="1"/>
        </w:pBdr>
        <w:spacing w:after="200" w:before="0"/>
      </w:pPr>
    </w:p>
    <w:p>
      <w:pPr>
        <w:spacing w:after="120" w:before="80"/>
        <w:jc w:val="both"/>
      </w:pPr>
      <w:r>
        <w:rPr>
          <w:rFonts w:ascii="Arial" w:cs="Arial" w:eastAsia="Arial" w:hAnsi="Arial"/>
          <w:color w:val="555555"/>
          <w:sz w:val="22"/>
          <w:szCs w:val="22"/>
        </w:rPr>
        <w:t xml:space="preserve">Participants will be invited as conservation practitioners sharing professional experience — not as research subjects. The symposium will be framed as a professional gathering funded by the EU-FCCB Nexus Programme. CIFOR-ICRAF will communicate to participants after the event that the proceedings and discussions will inform a peer-reviewed publication, and will seek their explicit consent at that stage for inclusion as co-authors or cited contributors. This approach is consistent with practitioner research norms and will be handled in accordance with CIFOR-ICRAF research ethics guidelines. Audio recording of sessions will require explicit group consent at the opening of each session.</w:t>
      </w:r>
    </w:p>
    <w:p>
      <w:pPr>
        <w:spacing w:after="0" w:before="160"/>
      </w:pPr>
    </w:p>
    <w:p>
      <w:pPr>
        <w:pStyle w:val="Heading1"/>
      </w:pPr>
      <w:r>
        <w:rPr>
          <w:rFonts w:ascii="Arial" w:cs="Arial" w:eastAsia="Arial" w:hAnsi="Arial"/>
          <w:b/>
          <w:bCs/>
          <w:color w:val="1F5C2E"/>
          <w:sz w:val="28"/>
          <w:szCs w:val="28"/>
        </w:rPr>
        <w:t xml:space="preserve">7. Budget and Logistics</w:t>
      </w:r>
    </w:p>
    <w:p>
      <w:pPr>
        <w:pBdr>
          <w:bottom w:val="single" w:color="1F5C2E" w:sz="12" w:space="1"/>
        </w:pBdr>
        <w:spacing w:after="200" w:before="0"/>
      </w:pPr>
    </w:p>
    <w:p>
      <w:pPr>
        <w:spacing w:after="120" w:before="80"/>
        <w:jc w:val="both"/>
      </w:pPr>
      <w:r>
        <w:rPr>
          <w:rFonts w:ascii="Arial" w:cs="Arial" w:eastAsia="Arial" w:hAnsi="Arial"/>
          <w:color w:val="555555"/>
          <w:sz w:val="22"/>
          <w:szCs w:val="22"/>
        </w:rPr>
        <w:t xml:space="preserve">The symposium will be funded through the EU Forestry, Climate Change and Biodiversity Nexus Programme, implemented by CIFOR-ICRAF PNG. CIFOR-ICRAF will manage all logistical arrangements including:</w:t>
      </w:r>
    </w:p>
    <w:p>
      <w:pPr>
        <w:pStyle w:val="ListParagraph"/>
        <w:numPr>
          <w:ilvl w:val="0"/>
          <w:numId w:val="2"/>
        </w:numPr>
        <w:spacing w:after="80" w:before="40"/>
      </w:pPr>
      <w:r>
        <w:rPr>
          <w:rFonts w:ascii="Arial" w:cs="Arial" w:eastAsia="Arial" w:hAnsi="Arial"/>
          <w:color w:val="555555"/>
          <w:sz w:val="22"/>
          <w:szCs w:val="22"/>
        </w:rPr>
        <w:t xml:space="preserve">Venue hire in Popondetta — to be confirmed between Kokoda Track Authority Hall and Oro Province Government Conference Centre</w:t>
      </w:r>
    </w:p>
    <w:p>
      <w:pPr>
        <w:pStyle w:val="ListParagraph"/>
        <w:numPr>
          <w:ilvl w:val="0"/>
          <w:numId w:val="2"/>
        </w:numPr>
        <w:spacing w:after="80" w:before="40"/>
      </w:pPr>
      <w:r>
        <w:rPr>
          <w:rFonts w:ascii="Arial" w:cs="Arial" w:eastAsia="Arial" w:hAnsi="Arial"/>
          <w:color w:val="555555"/>
          <w:sz w:val="22"/>
          <w:szCs w:val="22"/>
        </w:rPr>
        <w:t xml:space="preserve">Return domestic airfares for participants travelling from Port Moresby, Lae, and other domestic centres</w:t>
      </w:r>
    </w:p>
    <w:p>
      <w:pPr>
        <w:pStyle w:val="ListParagraph"/>
        <w:numPr>
          <w:ilvl w:val="0"/>
          <w:numId w:val="2"/>
        </w:numPr>
        <w:spacing w:after="80" w:before="40"/>
      </w:pPr>
      <w:r>
        <w:rPr>
          <w:rFonts w:ascii="Arial" w:cs="Arial" w:eastAsia="Arial" w:hAnsi="Arial"/>
          <w:color w:val="555555"/>
          <w:sz w:val="22"/>
          <w:szCs w:val="22"/>
        </w:rPr>
        <w:t xml:space="preserve">Two nights accommodation (guesthouse or hotel, Popondetta) for participants travelling from outside Oro Province</w:t>
      </w:r>
    </w:p>
    <w:p>
      <w:pPr>
        <w:pStyle w:val="ListParagraph"/>
        <w:numPr>
          <w:ilvl w:val="0"/>
          <w:numId w:val="2"/>
        </w:numPr>
        <w:spacing w:after="80" w:before="40"/>
      </w:pPr>
      <w:r>
        <w:rPr>
          <w:rFonts w:ascii="Arial" w:cs="Arial" w:eastAsia="Arial" w:hAnsi="Arial"/>
          <w:color w:val="555555"/>
          <w:sz w:val="22"/>
          <w:szCs w:val="22"/>
        </w:rPr>
        <w:t xml:space="preserve">Per diem allowances in accordance with CIFOR-ICRAF PNG operational guidelines</w:t>
      </w:r>
    </w:p>
    <w:p>
      <w:pPr>
        <w:pStyle w:val="ListParagraph"/>
        <w:numPr>
          <w:ilvl w:val="0"/>
          <w:numId w:val="2"/>
        </w:numPr>
        <w:spacing w:after="80" w:before="40"/>
      </w:pPr>
      <w:r>
        <w:rPr>
          <w:rFonts w:ascii="Arial" w:cs="Arial" w:eastAsia="Arial" w:hAnsi="Arial"/>
          <w:color w:val="555555"/>
          <w:sz w:val="22"/>
          <w:szCs w:val="22"/>
        </w:rPr>
        <w:t xml:space="preserve">Catering: morning tea, lunch, and afternoon tea both days; informal dinner on the evening of Day 1</w:t>
      </w:r>
    </w:p>
    <w:p>
      <w:pPr>
        <w:pStyle w:val="ListParagraph"/>
        <w:numPr>
          <w:ilvl w:val="0"/>
          <w:numId w:val="2"/>
        </w:numPr>
        <w:spacing w:after="80" w:before="40"/>
      </w:pPr>
      <w:r>
        <w:rPr>
          <w:rFonts w:ascii="Arial" w:cs="Arial" w:eastAsia="Arial" w:hAnsi="Arial"/>
          <w:color w:val="555555"/>
          <w:sz w:val="22"/>
          <w:szCs w:val="22"/>
        </w:rPr>
        <w:t xml:space="preserve">Materials: printed agenda, participant packs, facilitation materials</w:t>
      </w:r>
    </w:p>
    <w:p>
      <w:pPr>
        <w:pStyle w:val="ListParagraph"/>
        <w:numPr>
          <w:ilvl w:val="0"/>
          <w:numId w:val="2"/>
        </w:numPr>
        <w:spacing w:after="80" w:before="40"/>
      </w:pPr>
      <w:r>
        <w:rPr>
          <w:rFonts w:ascii="Arial" w:cs="Arial" w:eastAsia="Arial" w:hAnsi="Arial"/>
          <w:color w:val="555555"/>
          <w:sz w:val="22"/>
          <w:szCs w:val="22"/>
        </w:rPr>
        <w:t xml:space="preserve">Rapporteur and facilitation support</w:t>
      </w:r>
    </w:p>
    <w:p>
      <w:pPr>
        <w:pStyle w:val="ListParagraph"/>
        <w:numPr>
          <w:ilvl w:val="0"/>
          <w:numId w:val="2"/>
        </w:numPr>
        <w:spacing w:after="80" w:before="40"/>
      </w:pPr>
      <w:r>
        <w:rPr>
          <w:rFonts w:ascii="Arial" w:cs="Arial" w:eastAsia="Arial" w:hAnsi="Arial"/>
          <w:color w:val="555555"/>
          <w:sz w:val="22"/>
          <w:szCs w:val="22"/>
        </w:rPr>
        <w:t xml:space="preserve">Optional post-symposium field visit to the Managalas Conservation Area — ground transport, accommodation, and meals for up to 15 participants, met directly by the organisers (no additional per diems)</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5C2E" w:sz="6"/>
              <w:left w:val="single" w:color="1F5C2E" w:sz="6"/>
              <w:bottom w:val="single" w:color="1F5C2E" w:sz="6"/>
              <w:right w:val="single" w:color="1F5C2E" w:sz="6"/>
            </w:tcBorders>
            <w:shd w:fill="D6EAD9" w:val="clear"/>
            <w:tcMar>
              <w:top w:type="dxa" w:w="160"/>
              <w:left w:type="dxa" w:w="240"/>
              <w:bottom w:type="dxa" w:w="160"/>
              <w:right w:type="dxa" w:w="240"/>
            </w:tcMar>
          </w:tcPr>
          <w:p>
            <w:pPr>
              <w:spacing w:after="60" w:before="60"/>
            </w:pPr>
            <w:r>
              <w:rPr>
                <w:rFonts w:ascii="Arial" w:cs="Arial" w:eastAsia="Arial" w:hAnsi="Arial"/>
                <w:color w:val="1F5C2E"/>
                <w:sz w:val="22"/>
                <w:szCs w:val="22"/>
              </w:rPr>
              <w:t xml:space="preserve">Estimated participant number:  30–40 practitioners</w:t>
            </w:r>
          </w:p>
          <w:p>
            <w:pPr>
              <w:spacing w:after="60" w:before="60"/>
            </w:pPr>
            <w:r>
              <w:rPr>
                <w:rFonts w:ascii="Arial" w:cs="Arial" w:eastAsia="Arial" w:hAnsi="Arial"/>
                <w:color w:val="1F5C2E"/>
                <w:sz w:val="22"/>
                <w:szCs w:val="22"/>
              </w:rPr>
              <w:t xml:space="preserve">Budget category:                     Workshop and Knowledge Exchange — EU-FCCB Nexus Programme</w:t>
            </w:r>
          </w:p>
          <w:p>
            <w:pPr>
              <w:spacing w:after="60" w:before="60"/>
            </w:pPr>
            <w:r>
              <w:rPr>
                <w:rFonts w:ascii="Arial" w:cs="Arial" w:eastAsia="Arial" w:hAnsi="Arial"/>
                <w:color w:val="1F5C2E"/>
                <w:sz w:val="22"/>
                <w:szCs w:val="22"/>
              </w:rPr>
              <w:t xml:space="preserve">Budget custodian:                    CIFOR-ICRAF PNG Country Manager</w:t>
            </w:r>
          </w:p>
          <w:p>
            <w:pPr>
              <w:spacing w:after="60" w:before="60"/>
            </w:pPr>
            <w:r>
              <w:rPr>
                <w:rFonts w:ascii="Arial" w:cs="Arial" w:eastAsia="Arial" w:hAnsi="Arial"/>
                <w:color w:val="1F5C2E"/>
                <w:sz w:val="22"/>
                <w:szCs w:val="22"/>
              </w:rPr>
              <w:t xml:space="preserve">Approvals required:                 CIFOR-ICRAF PNG Country Manager; EU-FCCB Programme Coordinator</w:t>
            </w:r>
          </w:p>
        </w:tc>
      </w:tr>
    </w:tbl>
    <w:p>
      <w:pPr>
        <w:spacing w:after="0" w:before="600"/>
      </w:pPr>
    </w:p>
    <w:p>
      <w:pPr>
        <w:pStyle w:val="Heading1"/>
      </w:pPr>
      <w:r>
        <w:rPr>
          <w:rFonts w:ascii="Arial" w:cs="Arial" w:eastAsia="Arial" w:hAnsi="Arial"/>
          <w:b/>
          <w:bCs/>
          <w:color w:val="1F5C2E"/>
          <w:sz w:val="28"/>
          <w:szCs w:val="28"/>
        </w:rPr>
        <w:t xml:space="preserve">8. Optional Field Visit — Managalas Conservation Area</w:t>
      </w:r>
    </w:p>
    <w:p>
      <w:pPr>
        <w:spacing w:after="120" w:before="80"/>
        <w:jc w:val="both"/>
      </w:pPr>
      <w:r>
        <w:rPr>
          <w:rFonts w:ascii="Arial" w:cs="Arial" w:eastAsia="Arial" w:hAnsi="Arial"/>
          <w:color w:val="555555"/>
          <w:sz w:val="22"/>
          <w:szCs w:val="22"/>
        </w:rPr>
        <w:t xml:space="preserve">Following the two-day symposium, an optional field visit to the Managalas Conservation Area (MCA) will be offered to a limited number of participants. Gazetted in 2017 under the Conservation Areas Act 1978 and covering 214,696 hectares of the Managalas Plateau in Oro Province, the MCA is Papua New Guinea’s largest Conservation Area and one of its clearest examples of conservation established through the consent of customary landowners — the central theme of this symposium. The visit is an opportunity for participants to see a gazetted Conservation Area on customary land at first hand, to meet members of the Managalas Conservation Foundation and the customary landowners of the plateau, and to ground the symposium’s discussions in the landscape itself.</w:t>
      </w:r>
    </w:p>
    <w:p>
      <w:pPr>
        <w:spacing w:after="120" w:before="80"/>
        <w:jc w:val="both"/>
      </w:pPr>
      <w:r>
        <w:rPr>
          <w:rFonts w:ascii="Arial" w:cs="Arial" w:eastAsia="Arial" w:hAnsi="Arial"/>
          <w:color w:val="555555"/>
          <w:sz w:val="22"/>
          <w:szCs w:val="22"/>
        </w:rPr>
        <w:t xml:space="preserve">Places are limited to a maximum of 15 participants. All costs of the visit — ground transport, accommodation, and meals — will be met in full by the organisers. In keeping with the spirit of the symposium, no per diems or daily allowances will be paid for the field visit: the organisers will cover participants’ reasonable costs directly rather than through cash payments.</w:t>
      </w:r>
    </w:p>
    <w:p>
      <w:pPr>
        <w:spacing w:after="120" w:before="80"/>
        <w:jc w:val="both"/>
      </w:pPr>
      <w:r>
        <w:rPr>
          <w:rFonts w:ascii="Arial" w:cs="Arial" w:eastAsia="Arial" w:hAnsi="Arial"/>
          <w:color w:val="555555"/>
          <w:sz w:val="22"/>
          <w:szCs w:val="22"/>
        </w:rPr>
        <w:t xml:space="preserve">The visit will be arranged immediately following the symposium, with travel to the Managalas Plateau and on-the-ground hosting coordinated with the Managalas Conservation Foundation. Timing, duration, and the allocation of the fifteen places will be confirmed with registered participants ahead of the event.</w:t>
      </w:r>
    </w:p>
    <w:p>
      <w:pPr>
        <w:shd w:fill="1F5C2E" w:val="clear"/>
        <w:spacing w:after="0" w:before="0"/>
      </w:pPr>
      <w:r>
        <w:rPr>
          <w:rFonts w:ascii="Arial" w:cs="Arial" w:eastAsia="Arial" w:hAnsi="Arial"/>
          <w:b/>
          <w:bCs/>
          <w:color w:val="FFFFFF"/>
          <w:sz w:val="36"/>
          <w:szCs w:val="36"/>
        </w:rPr>
        <w:t xml:space="preserve">PART II — PROPOSED SPEAKERS</w:t>
      </w:r>
    </w:p>
    <w:p>
      <w:pPr>
        <w:shd w:fill="1F5C2E" w:val="clear"/>
      </w:pPr>
      <w:r>
        <w:rPr>
          <w:rFonts w:ascii="Arial" w:cs="Arial" w:eastAsia="Arial" w:hAnsi="Arial"/>
          <w:color w:val="FFFFFF"/>
          <w:sz w:val="8"/>
          <w:szCs w:val="8"/>
        </w:rPr>
        <w:t xml:space="preserve"> </w:t>
      </w:r>
    </w:p>
    <w:p>
      <w:pPr>
        <w:spacing w:after="0" w:before="200"/>
      </w:pPr>
    </w:p>
    <w:p>
      <w:pPr>
        <w:spacing w:after="120" w:before="80"/>
        <w:jc w:val="both"/>
      </w:pPr>
      <w:r>
        <w:rPr>
          <w:rFonts w:ascii="Arial" w:cs="Arial" w:eastAsia="Arial" w:hAnsi="Arial"/>
          <w:color w:val="555555"/>
          <w:sz w:val="22"/>
          <w:szCs w:val="22"/>
        </w:rPr>
        <w:t xml:space="preserve">The following speakers are proposed for Day 1. All presentations are 15 minutes with 5 minutes for questions. A 25-minute facilitated discussion is held before each break, drawing across all presentations in the session block. Invitations are subject to availability and confirmation.</w:t>
      </w:r>
    </w:p>
    <w:p>
      <w:pPr>
        <w:spacing w:after="0" w:before="160"/>
      </w:pPr>
    </w:p>
    <w:p>
      <w:pPr>
        <w:pStyle w:val="Heading2"/>
      </w:pPr>
      <w:r>
        <w:rPr>
          <w:rFonts w:ascii="Arial" w:cs="Arial" w:eastAsia="Arial" w:hAnsi="Arial"/>
          <w:b/>
          <w:bCs/>
          <w:color w:val="2E7D44"/>
          <w:sz w:val="24"/>
          <w:szCs w:val="24"/>
        </w:rPr>
        <w:t xml:space="preserve">Day 1 Morning — Session A: The Customary Land Question and ICDP/ICAD Legacy (Themes 1 &amp;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Speaker / Presenter</w:t>
            </w:r>
          </w:p>
        </w:tc>
        <w:tc>
          <w:tcPr>
            <w:tcW w:type="dxa" w:w="28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4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Presentation Topic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Will Unsworth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CIFOR-ICRAF PNG</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Opening address: conservation in customary PNG — the MCA experience and the 30x30 challenge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TBA — CEPA representative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Conservation &amp; Environment Protection Authority (CEPA)</w:t>
            </w:r>
          </w:p>
        </w:tc>
        <w:tc>
          <w:tcPr>
            <w:tcW w:type="dxa" w:w="3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The ICAD and WMA frameworks: legal architecture and implementation experience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TBA — CI PNG representative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Conservation International PNG</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ICDP retrospective: what integrated approaches have and have not delivered in PNG</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Malchus Kajia</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Managalas Conservation Foundation (MCF), Oro Province</w:t>
            </w:r>
          </w:p>
        </w:tc>
        <w:tc>
          <w:tcPr>
            <w:tcW w:type="dxa" w:w="3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A customary landowner's perspective: what conservation means, and what it costs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Dr Sangion Tiu</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Research and Conservation Foundation (RCF) PNG, Goroka</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Thirty years managing Crater Mountain WMA: lessons from PNG's longest-running ICAD</w:t>
            </w:r>
          </w:p>
        </w:tc>
      </w:tr>
    </w:tbl>
    <w:p>
      <w:pPr>
        <w:spacing w:after="0" w:before="160"/>
      </w:pPr>
    </w:p>
    <w:p>
      <w:pPr>
        <w:pStyle w:val="Heading2"/>
      </w:pPr>
      <w:r>
        <w:rPr>
          <w:rFonts w:ascii="Arial" w:cs="Arial" w:eastAsia="Arial" w:hAnsi="Arial"/>
          <w:b/>
          <w:bCs/>
          <w:color w:val="2E7D44"/>
          <w:sz w:val="24"/>
          <w:szCs w:val="24"/>
        </w:rPr>
        <w:t xml:space="preserve">Day 1 Afternoon — Session B: Community, Livelihoods, and Governance (Themes 3, 4 &amp;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Speaker / Presenter</w:t>
            </w:r>
          </w:p>
        </w:tc>
        <w:tc>
          <w:tcPr>
            <w:tcW w:type="dxa" w:w="28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4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Presentation Topic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TBA — TNC PNG representative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The Nature Conservancy (TNC) PNG</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Community engagement methodologies: lessons from TNC's PNG portfolio</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Shahla Hosseini-Bai or nominee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Griffith University / CIFOR-ICRAF PNG</w:t>
            </w:r>
          </w:p>
        </w:tc>
        <w:tc>
          <w:tcPr>
            <w:tcW w:type="dxa" w:w="3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NTFPs, value chains, and conservation livelihoods in the Managalas landscape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Moses Kirikumul Kerry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MENCERTC, Simbu Province</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Indigenous-led conservation from scratch: the Mauberema model and what it shows about community-initiated approaches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TBA — UNDP/GEF representative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UNDP PNG / GEF Small Grants Programme</w:t>
            </w:r>
          </w:p>
        </w:tc>
        <w:tc>
          <w:tcPr>
            <w:tcW w:type="dxa" w:w="3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Financing conservation in PNG: PES, REDD+, and the small grants experience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Tim Pagella or nominee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Bangor University / CIFOR-ICRAF</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Landscape approaches and agroforestry as a bridge between conservation and livelihoods</w:t>
            </w:r>
          </w:p>
        </w:tc>
      </w:tr>
    </w:tbl>
    <w:p>
      <w:pPr>
        <w:spacing w:after="0" w:before="160"/>
      </w:pPr>
    </w:p>
    <w:p>
      <w:pPr>
        <w:pStyle w:val="Heading2"/>
      </w:pPr>
      <w:r>
        <w:rPr>
          <w:rFonts w:ascii="Arial" w:cs="Arial" w:eastAsia="Arial" w:hAnsi="Arial"/>
          <w:b/>
          <w:bCs/>
          <w:color w:val="2E7D44"/>
          <w:sz w:val="24"/>
          <w:szCs w:val="24"/>
        </w:rPr>
        <w:t xml:space="preserve">Day 1 Close — Keynote 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Speaker / Presenter</w:t>
            </w:r>
          </w:p>
        </w:tc>
        <w:tc>
          <w:tcPr>
            <w:tcW w:type="dxa" w:w="28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4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Presentation Topic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TBA — Senior regional conservation figure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WWF Pacific or IUCN Oceania</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Keynote reflection: what PNG's practitioner experience tells us about the global 30x30 agenda in customary land contexts</w:t>
            </w:r>
          </w:p>
        </w:tc>
      </w:tr>
    </w:tbl>
    <w:p>
      <w:pPr>
        <w:spacing w:after="0" w:before="160"/>
      </w:pPr>
    </w:p>
    <w:p>
      <w:pPr>
        <w:pStyle w:val="Heading2"/>
      </w:pPr>
      <w:r>
        <w:rPr>
          <w:rFonts w:ascii="Arial" w:cs="Arial" w:eastAsia="Arial" w:hAnsi="Arial"/>
          <w:b/>
          <w:bCs/>
          <w:color w:val="2E7D44"/>
          <w:sz w:val="24"/>
          <w:szCs w:val="24"/>
        </w:rPr>
        <w:t xml:space="preserve">Day 2 — Facilitation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8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4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Will Unsworth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CIFOR-ICRAF PNG</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Lead facilitator / symposium chair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TBA — PNG-based facilitator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Preferred: PNG-based practitioner with conservation/NRM background</w:t>
            </w:r>
          </w:p>
        </w:tc>
        <w:tc>
          <w:tcPr>
            <w:tcW w:type="dxa" w:w="3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Co-facilitator, small group sessions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TBA — CIFOR-ICRAF staff</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CIFOR-ICRAF PNG</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Rapporteur / note-taker (both days)</w:t>
            </w:r>
          </w:p>
        </w:tc>
      </w:tr>
    </w:tbl>
    <w:p>
      <w:pPr>
        <w:spacing w:after="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5C2E" w:sz="6"/>
              <w:left w:val="single" w:color="1F5C2E" w:sz="6"/>
              <w:bottom w:val="single" w:color="1F5C2E" w:sz="6"/>
              <w:right w:val="single" w:color="1F5C2E" w:sz="6"/>
            </w:tcBorders>
            <w:shd w:fill="D6EAD9" w:val="clear"/>
            <w:tcMar>
              <w:top w:type="dxa" w:w="160"/>
              <w:left w:type="dxa" w:w="240"/>
              <w:bottom w:type="dxa" w:w="160"/>
              <w:right w:type="dxa" w:w="240"/>
            </w:tcMar>
          </w:tcPr>
          <w:p>
            <w:pPr>
              <w:spacing w:after="60" w:before="60"/>
            </w:pPr>
            <w:r>
              <w:rPr>
                <w:rFonts w:ascii="Arial" w:cs="Arial" w:eastAsia="Arial" w:hAnsi="Arial"/>
                <w:color w:val="1F5C2E"/>
                <w:sz w:val="22"/>
                <w:szCs w:val="22"/>
              </w:rPr>
              <w:t xml:space="preserve">Note on remote contribution: Rune Paulsen (Senior Adviser, Indonesia and PNG Programme, Rainforest Foundation Norway) has been involved</w:t>
            </w:r>
          </w:p>
          <w:p>
            <w:pPr>
              <w:spacing w:after="60" w:before="60"/>
            </w:pPr>
            <w:r>
              <w:rPr>
                <w:rFonts w:ascii="Arial" w:cs="Arial" w:eastAsia="Arial" w:hAnsi="Arial"/>
                <w:color w:val="1F5C2E"/>
                <w:sz w:val="22"/>
                <w:szCs w:val="22"/>
              </w:rPr>
              <w:t xml:space="preserve">in the Managalas project since 1997 and holds important institutional memory of the three-decade consent-building process. A pre-recorded</w:t>
            </w:r>
          </w:p>
          <w:p>
            <w:pPr>
              <w:spacing w:after="60" w:before="60"/>
            </w:pPr>
            <w:r>
              <w:rPr>
                <w:rFonts w:ascii="Arial" w:cs="Arial" w:eastAsia="Arial" w:hAnsi="Arial"/>
                <w:color w:val="1F5C2E"/>
                <w:sz w:val="22"/>
                <w:szCs w:val="22"/>
              </w:rPr>
              <w:t xml:space="preserve">video contribution or live remote presentation from Oslo is proposed as a practical alternative to in-person attendance.</w:t>
            </w:r>
          </w:p>
        </w:tc>
      </w:tr>
    </w:tbl>
    <w:p>
      <w:pPr>
        <w:spacing w:after="0" w:before="600"/>
      </w:pPr>
    </w:p>
    <w:p>
      <w:pPr>
        <w:shd w:fill="1F5C2E" w:val="clear"/>
        <w:spacing w:after="0" w:before="0"/>
      </w:pPr>
      <w:r>
        <w:rPr>
          <w:rFonts w:ascii="Arial" w:cs="Arial" w:eastAsia="Arial" w:hAnsi="Arial"/>
          <w:b/>
          <w:bCs/>
          <w:color w:val="FFFFFF"/>
          <w:sz w:val="36"/>
          <w:szCs w:val="36"/>
        </w:rPr>
        <w:t xml:space="preserve">PART III — DRAFT AGENDA</w:t>
      </w:r>
    </w:p>
    <w:p>
      <w:pPr>
        <w:shd w:fill="1F5C2E" w:val="clear"/>
      </w:pPr>
      <w:r>
        <w:rPr>
          <w:rFonts w:ascii="Arial" w:cs="Arial" w:eastAsia="Arial" w:hAnsi="Arial"/>
          <w:color w:val="FFFFFF"/>
          <w:sz w:val="8"/>
          <w:szCs w:val="8"/>
        </w:rPr>
        <w:t xml:space="preserve"> </w:t>
      </w:r>
    </w:p>
    <w:p>
      <w:pPr>
        <w:spacing w:after="0" w:before="200"/>
      </w:pPr>
    </w:p>
    <w:p>
      <w:pPr>
        <w:pStyle w:val="Heading1"/>
      </w:pPr>
      <w:r>
        <w:rPr>
          <w:rFonts w:ascii="Arial" w:cs="Arial" w:eastAsia="Arial" w:hAnsi="Arial"/>
          <w:b/>
          <w:bCs/>
          <w:color w:val="1F5C2E"/>
          <w:sz w:val="28"/>
          <w:szCs w:val="28"/>
        </w:rPr>
        <w:t xml:space="preserve">Day 1 — Structured Presentations</w:t>
      </w:r>
    </w:p>
    <w:p>
      <w:pPr>
        <w:pBdr>
          <w:bottom w:val="single" w:color="1F5C2E" w:sz="12" w:space="1"/>
        </w:pBdr>
        <w:spacing w:after="200" w:before="0"/>
      </w:pPr>
    </w:p>
    <w:p>
      <w:pPr>
        <w:spacing w:after="120" w:before="80"/>
        <w:jc w:val="both"/>
      </w:pPr>
      <w:r>
        <w:rPr>
          <w:rFonts w:ascii="Arial" w:cs="Arial" w:eastAsia="Arial" w:hAnsi="Arial"/>
          <w:color w:val="555555"/>
          <w:sz w:val="22"/>
          <w:szCs w:val="22"/>
        </w:rPr>
        <w:t xml:space="preserve">All presentations: 15 minutes + 5 minutes Q&amp;A. Thematic discussion: 25 minutes (facilitated, before each break). Total session block timing is designed to fit within the day structure below.</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Time</w:t>
            </w:r>
          </w:p>
        </w:tc>
        <w:tc>
          <w:tcPr>
            <w:tcW w:type="dxa" w:w="72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Session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07:30 – 08:00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Registration and arrival tea/coffee</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08:00 – 08:20</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Welcome to country — elder from Managalas/Orokaiva community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08:20 – 08:40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Formal opening — Provincial Administrator, Oro Province (or nominee)</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08:40 – 09:00</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Programme context — EU-FCCB Nexus Programme and symposium objectives (CIFOR-ICRAF)</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09:00 – 09:05</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Housekeeping, consent and note-taking protocol</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09:05 – 09:10</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SESSION A INTRODUCTION: The Customary Land Question and ICDP/ICAD Legacy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09:10 – 09:30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PRESENTATION 1 — CIFOR-ICRAF: Opening address — conservation in customary PNG and the 30x30 challenge</w:t>
            </w:r>
          </w:p>
          <w:p>
            <w:r>
              <w:rPr>
                <w:rFonts w:ascii="Arial" w:cs="Arial" w:eastAsia="Arial" w:hAnsi="Arial"/>
                <w:color w:val="555555"/>
                <w:sz w:val="20"/>
                <w:szCs w:val="20"/>
              </w:rPr>
              <w:t xml:space="preserve">(15 min + 5 min Q&amp;A)</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09:30 – 09:50</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PRESENTATION 2 — CEPA: The ICAD and WMA frameworks in practice</w:t>
            </w:r>
          </w:p>
          <w:p>
            <w:r>
              <w:rPr>
                <w:rFonts w:ascii="Arial" w:cs="Arial" w:eastAsia="Arial" w:hAnsi="Arial"/>
                <w:color w:val="555555"/>
                <w:sz w:val="20"/>
                <w:szCs w:val="20"/>
              </w:rPr>
              <w:t xml:space="preserve">(15 min + 5 min Q&amp;A)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09:50 – 10:10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PRESENTATION 3 — Conservation International: ICDP retrospective</w:t>
            </w:r>
          </w:p>
          <w:p>
            <w:r>
              <w:rPr>
                <w:rFonts w:ascii="Arial" w:cs="Arial" w:eastAsia="Arial" w:hAnsi="Arial"/>
                <w:color w:val="555555"/>
                <w:sz w:val="20"/>
                <w:szCs w:val="20"/>
              </w:rPr>
              <w:t xml:space="preserve">(15 min + 5 min Q&amp;A)</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10:10 – 10:35</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THEMATIC DISCUSSION — Session A (Part 1): What have ICDPs and ICADs actually delivered?</w:t>
            </w:r>
          </w:p>
          <w:p>
            <w:r>
              <w:rPr>
                <w:rFonts w:ascii="Arial" w:cs="Arial" w:eastAsia="Arial" w:hAnsi="Arial"/>
                <w:color w:val="555555"/>
                <w:sz w:val="20"/>
                <w:szCs w:val="20"/>
              </w:rPr>
              <w:t xml:space="preserve">Facilitated open discussion across presentations 1–3. Rapporteur records key themes.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10:35 – 10:50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Morning tea</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10:50 – 11:10</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PRESENTATION 4 — MCF: A customary landowner's perspective on conservation</w:t>
            </w:r>
          </w:p>
          <w:p>
            <w:r>
              <w:rPr>
                <w:rFonts w:ascii="Arial" w:cs="Arial" w:eastAsia="Arial" w:hAnsi="Arial"/>
                <w:color w:val="555555"/>
                <w:sz w:val="20"/>
                <w:szCs w:val="20"/>
              </w:rPr>
              <w:t xml:space="preserve">(15 min + 5 min Q&amp;A)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11:10 – 11:30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PRESENTATION 5 — RCF PNG: Thirty years managing Crater Mountain WMA</w:t>
            </w:r>
          </w:p>
          <w:p>
            <w:r>
              <w:rPr>
                <w:rFonts w:ascii="Arial" w:cs="Arial" w:eastAsia="Arial" w:hAnsi="Arial"/>
                <w:color w:val="555555"/>
                <w:sz w:val="20"/>
                <w:szCs w:val="20"/>
              </w:rPr>
              <w:t xml:space="preserve">(15 min + 5 min Q&amp;A)</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11:30 – 11:35</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Remote contribution (video) — Rune Paulsen, Rainforest Foundation Norway</w:t>
            </w:r>
          </w:p>
          <w:p>
            <w:r>
              <w:rPr>
                <w:rFonts w:ascii="Arial" w:cs="Arial" w:eastAsia="Arial" w:hAnsi="Arial"/>
                <w:color w:val="555555"/>
                <w:sz w:val="20"/>
                <w:szCs w:val="20"/>
              </w:rPr>
              <w:t xml:space="preserve">Pre-recorded 5-minute reflection on 30 years of Managalas support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11:35 – 12:00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THEMATIC DISCUSSION — Session A (Part 2): Customary land, community consent, and long-term commitment</w:t>
            </w:r>
          </w:p>
          <w:p>
            <w:r>
              <w:rPr>
                <w:rFonts w:ascii="Arial" w:cs="Arial" w:eastAsia="Arial" w:hAnsi="Arial"/>
                <w:color w:val="555555"/>
                <w:sz w:val="20"/>
                <w:szCs w:val="20"/>
              </w:rPr>
              <w:t xml:space="preserve">Facilitated open discussion across presentations 4–5 and RFN contribution.</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12:00 – 13:00</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Lunch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13:00 – 13:05</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SESSION B INTRODUCTION: Community, Livelihoods, and Governance</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13:05 – 13:25</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PRESENTATION 6 — TNC PNG: Community engagement methodologies</w:t>
            </w:r>
          </w:p>
          <w:p>
            <w:r>
              <w:rPr>
                <w:rFonts w:ascii="Arial" w:cs="Arial" w:eastAsia="Arial" w:hAnsi="Arial"/>
                <w:color w:val="555555"/>
                <w:sz w:val="20"/>
                <w:szCs w:val="20"/>
              </w:rPr>
              <w:t xml:space="preserve">(15 min + 5 min Q&amp;A)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13:25 – 13:45</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PRESENTATION 7 — Griffith University / CIFOR-ICRAF: NTFPs, value chains, and conservation livelihoods</w:t>
            </w:r>
          </w:p>
          <w:p>
            <w:r>
              <w:rPr>
                <w:rFonts w:ascii="Arial" w:cs="Arial" w:eastAsia="Arial" w:hAnsi="Arial"/>
                <w:color w:val="555555"/>
                <w:sz w:val="20"/>
                <w:szCs w:val="20"/>
              </w:rPr>
              <w:t xml:space="preserve">(15 min + 5 min Q&amp;A)</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13:45 – 14:05</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PRESENTATION 8 — MENCERTC: The Mauberema model — indigenous-led conservation from scratch</w:t>
            </w:r>
          </w:p>
          <w:p>
            <w:r>
              <w:rPr>
                <w:rFonts w:ascii="Arial" w:cs="Arial" w:eastAsia="Arial" w:hAnsi="Arial"/>
                <w:color w:val="555555"/>
                <w:sz w:val="20"/>
                <w:szCs w:val="20"/>
              </w:rPr>
              <w:t xml:space="preserve">(15 min + 5 min Q&amp;A)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14:05 – 14:30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THEMATIC DISCUSSION — Session B (Part 1): Community ownership, gender, and generational change</w:t>
            </w:r>
          </w:p>
          <w:p>
            <w:r>
              <w:rPr>
                <w:rFonts w:ascii="Arial" w:cs="Arial" w:eastAsia="Arial" w:hAnsi="Arial"/>
                <w:color w:val="555555"/>
                <w:sz w:val="20"/>
                <w:szCs w:val="20"/>
              </w:rPr>
              <w:t xml:space="preserve">Facilitated open discussion across presentations 6–8.</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14:30 – 14:45</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Afternoon tea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14:45 – 15:05</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PRESENTATION 9 — UNDP/GEF: Financing conservation — PES, REDD+, and small grants</w:t>
            </w:r>
          </w:p>
          <w:p>
            <w:r>
              <w:rPr>
                <w:rFonts w:ascii="Arial" w:cs="Arial" w:eastAsia="Arial" w:hAnsi="Arial"/>
                <w:color w:val="555555"/>
                <w:sz w:val="20"/>
                <w:szCs w:val="20"/>
              </w:rPr>
              <w:t xml:space="preserve">(15 min + 5 min Q&amp;A)</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15:05 – 15:25</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PRESENTATION 10 — Bangor University / CIFOR-ICRAF: Landscape approaches and agroforestry</w:t>
            </w:r>
          </w:p>
          <w:p>
            <w:r>
              <w:rPr>
                <w:rFonts w:ascii="Arial" w:cs="Arial" w:eastAsia="Arial" w:hAnsi="Arial"/>
                <w:color w:val="555555"/>
                <w:sz w:val="20"/>
                <w:szCs w:val="20"/>
              </w:rPr>
              <w:t xml:space="preserve">(15 min + 5 min Q&amp;A)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15:25 – 15:50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THEMATIC DISCUSSION — Session B (Part 2): Livelihoods, finance, and governance</w:t>
            </w:r>
          </w:p>
          <w:p>
            <w:r>
              <w:rPr>
                <w:rFonts w:ascii="Arial" w:cs="Arial" w:eastAsia="Arial" w:hAnsi="Arial"/>
                <w:color w:val="555555"/>
                <w:sz w:val="20"/>
                <w:szCs w:val="20"/>
              </w:rPr>
              <w:t xml:space="preserve">Facilitated open discussion across presentations 9–10 and broader governance themes.</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15:50 – 16:35</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KEYNOTE REFLECTION — WWF Pacific / IUCN Oceania or equivalent</w:t>
            </w:r>
          </w:p>
          <w:p>
            <w:r>
              <w:rPr>
                <w:rFonts w:ascii="Arial" w:cs="Arial" w:eastAsia="Arial" w:hAnsi="Arial"/>
                <w:color w:val="555555"/>
                <w:sz w:val="20"/>
                <w:szCs w:val="20"/>
              </w:rPr>
              <w:t xml:space="preserve">30-min reflection on PNG practitioner experience in the global 30x30 context + 15 min open discussion.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16:35 – 16:50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1 close — rapporteur synthesis and preview of Day 2</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19:00 – 21:00</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Informal dinner — all participants (venue TBC, Popondetta)</w:t>
            </w:r>
          </w:p>
        </w:tc>
      </w:tr>
    </w:tbl>
    <w:p>
      <w:pPr>
        <w:spacing w:after="0" w:before="400"/>
      </w:pPr>
    </w:p>
    <w:p>
      <w:pPr>
        <w:pStyle w:val="Heading1"/>
      </w:pPr>
      <w:r>
        <w:rPr>
          <w:rFonts w:ascii="Arial" w:cs="Arial" w:eastAsia="Arial" w:hAnsi="Arial"/>
          <w:b/>
          <w:bCs/>
          <w:color w:val="1F5C2E"/>
          <w:sz w:val="28"/>
          <w:szCs w:val="28"/>
        </w:rPr>
        <w:t xml:space="preserve">Day 2 — Open Deliberation and Consensus-Building</w:t>
      </w:r>
    </w:p>
    <w:p>
      <w:pPr>
        <w:pBdr>
          <w:bottom w:val="single" w:color="1F5C2E" w:sz="12" w:space="1"/>
        </w:pBd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Time</w:t>
            </w:r>
          </w:p>
        </w:tc>
        <w:tc>
          <w:tcPr>
            <w:tcW w:type="dxa" w:w="72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Session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08:00 – 08:30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Arrival tea/coffee and recap — rapporteur presents key threads from Day 1</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08:30 – 08:45</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Introduction to Day 2 format — facilitation team outlines working group protocol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08:45 – 10:30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WORKING GROUPS (5 parallel groups, one per symposium theme)</w:t>
            </w:r>
          </w:p>
          <w:p>
            <w:r>
              <w:rPr>
                <w:rFonts w:ascii="Arial" w:cs="Arial" w:eastAsia="Arial" w:hAnsi="Arial"/>
                <w:color w:val="555555"/>
                <w:sz w:val="20"/>
                <w:szCs w:val="20"/>
              </w:rPr>
              <w:t xml:space="preserve">Each group works through three facilitator-prepared provocations drawn from Day 1.</w:t>
            </w:r>
          </w:p>
          <w:p>
            <w:r>
              <w:rPr>
                <w:rFonts w:ascii="Arial" w:cs="Arial" w:eastAsia="Arial" w:hAnsi="Arial"/>
                <w:color w:val="555555"/>
                <w:sz w:val="20"/>
                <w:szCs w:val="20"/>
              </w:rPr>
              <w:t xml:space="preserve">Groups produce: (1) 3 key lessons learned  (2) 3 persistent barriers  (3) 3 priorities for action.</w:t>
            </w:r>
          </w:p>
          <w:p>
            <w:r>
              <w:rPr>
                <w:rFonts w:ascii="Arial" w:cs="Arial" w:eastAsia="Arial" w:hAnsi="Arial"/>
                <w:color w:val="555555"/>
                <w:sz w:val="20"/>
                <w:szCs w:val="20"/>
              </w:rPr>
              <w:t xml:space="preserve">Each group has a designated rapporteur.</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10:30 – 10:45</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Morning tea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10:45 – 12:00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WORKING GROUP REPORTS — plenary</w:t>
            </w:r>
          </w:p>
          <w:p>
            <w:r>
              <w:rPr>
                <w:rFonts w:ascii="Arial" w:cs="Arial" w:eastAsia="Arial" w:hAnsi="Arial"/>
                <w:color w:val="555555"/>
                <w:sz w:val="20"/>
                <w:szCs w:val="20"/>
              </w:rPr>
              <w:t xml:space="preserve">Each group: 10-minute synthesis. Open cross-group discussion follows each report.</w:t>
            </w:r>
          </w:p>
          <w:p>
            <w:r>
              <w:rPr>
                <w:rFonts w:ascii="Arial" w:cs="Arial" w:eastAsia="Arial" w:hAnsi="Arial"/>
                <w:color w:val="555555"/>
                <w:sz w:val="20"/>
                <w:szCs w:val="20"/>
              </w:rPr>
              <w:t xml:space="preserve">Facilitator identifies convergences and divergences across themes.</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12:00 – 13:00</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Lunch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13:00 – 14:30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PRIORITY-SETTING PLENARY — What needs to change for PNG to achieve 30x30?</w:t>
            </w:r>
          </w:p>
          <w:p>
            <w:r>
              <w:rPr>
                <w:rFonts w:ascii="Arial" w:cs="Arial" w:eastAsia="Arial" w:hAnsi="Arial"/>
                <w:color w:val="555555"/>
                <w:sz w:val="20"/>
                <w:szCs w:val="20"/>
              </w:rPr>
              <w:t xml:space="preserve">Facilitated exercise distilling working group outputs into ranked priorities across three categories:</w:t>
            </w:r>
          </w:p>
          <w:p>
            <w:r>
              <w:rPr>
                <w:rFonts w:ascii="Arial" w:cs="Arial" w:eastAsia="Arial" w:hAnsi="Arial"/>
                <w:color w:val="555555"/>
                <w:sz w:val="20"/>
                <w:szCs w:val="20"/>
              </w:rPr>
              <w:t xml:space="preserve">  (a) Research priorities  (b) Policy and advocacy priorities  (c) Programme design priorities</w:t>
            </w:r>
          </w:p>
          <w:p>
            <w:r>
              <w:rPr>
                <w:rFonts w:ascii="Arial" w:cs="Arial" w:eastAsia="Arial" w:hAnsi="Arial"/>
                <w:color w:val="555555"/>
                <w:sz w:val="20"/>
                <w:szCs w:val="20"/>
              </w:rPr>
              <w:t xml:space="preserve">Method: structured dot-voting followed by open negotiation on top-ranked items.</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14:30 – 15:00</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Afternoon tea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15:00 – 16:00</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PRACTITIONER STATEMENT DRAFTING — whole group</w:t>
            </w:r>
          </w:p>
          <w:p>
            <w:r>
              <w:rPr>
                <w:rFonts w:ascii="Arial" w:cs="Arial" w:eastAsia="Arial" w:hAnsi="Arial"/>
                <w:color w:val="555555"/>
                <w:sz w:val="20"/>
                <w:szCs w:val="20"/>
              </w:rPr>
              <w:t xml:space="preserve">Facilitated drafting of a joint Practitioner Statement on Conservation in PNG.</w:t>
            </w:r>
          </w:p>
          <w:p>
            <w:r>
              <w:rPr>
                <w:rFonts w:ascii="Arial" w:cs="Arial" w:eastAsia="Arial" w:hAnsi="Arial"/>
                <w:color w:val="555555"/>
                <w:sz w:val="20"/>
                <w:szCs w:val="20"/>
              </w:rPr>
              <w:t xml:space="preserve">Participants agree on key messages, tone, and intended audiences (government, donors, CBD).</w:t>
            </w:r>
          </w:p>
        </w:tc>
      </w:tr>
      <w:tr>
        <w:tc>
          <w:tcPr>
            <w:tcW w:type="dxa" w:w="1800"/>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b/>
                <w:bCs/>
                <w:color w:val="1F5C2E"/>
                <w:sz w:val="20"/>
                <w:szCs w:val="20"/>
              </w:rPr>
              <w:t xml:space="preserve">16:00 – 16:30</w:t>
            </w:r>
          </w:p>
        </w:tc>
        <w:tc>
          <w:tcPr>
            <w:tcW w:type="dxa" w:w="7226"/>
            <w:tcBorders>
              <w:top w:val="single" w:color="CCCCCC" w:sz="4"/>
              <w:left w:val="single" w:color="CCCCCC" w:sz="4"/>
              <w:bottom w:val="single" w:color="CCCCCC" w:sz="4"/>
              <w:right w:val="single" w:color="CCCCCC" w:sz="4"/>
            </w:tcBorders>
            <w:shd w:fill="D6EAD9" w:val="clear"/>
            <w:tcMar>
              <w:top w:type="dxa" w:w="80"/>
              <w:left w:type="dxa" w:w="120"/>
              <w:bottom w:type="dxa" w:w="80"/>
              <w:right w:type="dxa" w:w="120"/>
            </w:tcMar>
          </w:tcPr>
          <w:p>
            <w:r>
              <w:rPr>
                <w:rFonts w:ascii="Arial" w:cs="Arial" w:eastAsia="Arial" w:hAnsi="Arial"/>
                <w:color w:val="555555"/>
                <w:sz w:val="20"/>
                <w:szCs w:val="20"/>
              </w:rPr>
              <w:t xml:space="preserve">NEXT STEPS AND CLOSE</w:t>
            </w:r>
          </w:p>
          <w:p>
            <w:r>
              <w:rPr>
                <w:rFonts w:ascii="Arial" w:cs="Arial" w:eastAsia="Arial" w:hAnsi="Arial"/>
                <w:color w:val="555555"/>
                <w:sz w:val="20"/>
                <w:szCs w:val="20"/>
              </w:rPr>
              <w:t xml:space="preserve">CIFOR-ICRAF outlines post-symposium process: proceedings, peer-reviewed publication, PNG Conservation Practitioners Network.</w:t>
            </w:r>
          </w:p>
          <w:p>
            <w:r>
              <w:rPr>
                <w:rFonts w:ascii="Arial" w:cs="Arial" w:eastAsia="Arial" w:hAnsi="Arial"/>
                <w:color w:val="555555"/>
                <w:sz w:val="20"/>
                <w:szCs w:val="20"/>
              </w:rPr>
              <w:t xml:space="preserve">Participants confirm contact details and consent to inclusion in proceedings.</w:t>
            </w:r>
          </w:p>
          <w:p>
            <w:r>
              <w:rPr>
                <w:rFonts w:ascii="Arial" w:cs="Arial" w:eastAsia="Arial" w:hAnsi="Arial"/>
                <w:color w:val="555555"/>
                <w:sz w:val="20"/>
                <w:szCs w:val="20"/>
              </w:rPr>
              <w:t xml:space="preserve">Formal close — CIFOR-ICRAF Country Manager.</w:t>
            </w:r>
          </w:p>
        </w:tc>
      </w:tr>
    </w:tbl>
    <w:p>
      <w:pPr>
        <w:spacing w:after="0" w:before="600"/>
      </w:pPr>
    </w:p>
    <w:p>
      <w:pPr>
        <w:shd w:fill="1F5C2E" w:val="clear"/>
        <w:spacing w:after="0" w:before="0"/>
      </w:pPr>
      <w:r>
        <w:rPr>
          <w:rFonts w:ascii="Arial" w:cs="Arial" w:eastAsia="Arial" w:hAnsi="Arial"/>
          <w:b/>
          <w:bCs/>
          <w:color w:val="FFFFFF"/>
          <w:sz w:val="36"/>
          <w:szCs w:val="36"/>
        </w:rPr>
        <w:t xml:space="preserve">PART IV — PROPOSED INVITEES</w:t>
      </w:r>
    </w:p>
    <w:p>
      <w:pPr>
        <w:shd w:fill="1F5C2E" w:val="clear"/>
      </w:pPr>
      <w:r>
        <w:rPr>
          <w:rFonts w:ascii="Arial" w:cs="Arial" w:eastAsia="Arial" w:hAnsi="Arial"/>
          <w:color w:val="FFFFFF"/>
          <w:sz w:val="8"/>
          <w:szCs w:val="8"/>
        </w:rPr>
        <w:t xml:space="preserve"> </w:t>
      </w:r>
    </w:p>
    <w:p>
      <w:pPr>
        <w:spacing w:after="0" w:before="200"/>
      </w:pPr>
    </w:p>
    <w:p>
      <w:pPr>
        <w:spacing w:after="120" w:before="80"/>
        <w:jc w:val="both"/>
      </w:pPr>
      <w:r>
        <w:rPr>
          <w:rFonts w:ascii="Arial" w:cs="Arial" w:eastAsia="Arial" w:hAnsi="Arial"/>
          <w:color w:val="555555"/>
          <w:sz w:val="22"/>
          <w:szCs w:val="22"/>
        </w:rPr>
        <w:t xml:space="preserve">The following individuals and institutions are proposed as invitees. The list should be reviewed by CIFOR-ICRAF PNG in consultation with EU-FCCB programme staff before invitations are issued. Invitations should be issued at least 8 weeks before the symposium date. Gender balance target: minimum 40% women participants across all categories. Target: 30–40 participants total.</w:t>
      </w:r>
    </w:p>
    <w:p>
      <w:pPr>
        <w:spacing w:after="0" w:before="160"/>
      </w:pPr>
    </w:p>
    <w:p>
      <w:pPr>
        <w:pStyle w:val="Heading2"/>
      </w:pPr>
      <w:r>
        <w:rPr>
          <w:rFonts w:ascii="Arial" w:cs="Arial" w:eastAsia="Arial" w:hAnsi="Arial"/>
          <w:b/>
          <w:bCs/>
          <w:color w:val="2E7D44"/>
          <w:sz w:val="24"/>
          <w:szCs w:val="24"/>
        </w:rPr>
        <w:t xml:space="preserve">Government and Regulatory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Name / Position</w:t>
            </w:r>
          </w:p>
        </w:tc>
        <w:tc>
          <w:tcPr>
            <w:tcW w:type="dxa" w:w="35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0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Role / Relevance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Director, Protected Areas Division</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Conservation &amp; Environment Protection Authority (CEPA)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Lead national agency for conservation areas, ICAD licensing, 30x30 implementation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Director, Climate Change Division</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Conservation &amp; Environment Protection Authority (CEPA)</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REDD+ and climate-related conservation finance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Provincial Administrator (or nominee)</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Oro Provincial Government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Host provincial government representative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District Administrator, Ijivitari</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Ijivitari District Administration, Oro Province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District-level governance, MCA catchment area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Director of Agriculture and Livestock</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Department of Agriculture and Livestock, Oro Province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Agricultural livelihoods and conservation interface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Provincial Forestry Officer</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Papua New Guinea Forest Authority (PNGFA), Oro Province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Forest resource management and logging threat context</w:t>
            </w:r>
          </w:p>
        </w:tc>
      </w:tr>
    </w:tbl>
    <w:p>
      <w:pPr>
        <w:spacing w:after="0" w:before="160"/>
      </w:pPr>
    </w:p>
    <w:p>
      <w:pPr>
        <w:pStyle w:val="Heading2"/>
      </w:pPr>
      <w:r>
        <w:rPr>
          <w:rFonts w:ascii="Arial" w:cs="Arial" w:eastAsia="Arial" w:hAnsi="Arial"/>
          <w:b/>
          <w:bCs/>
          <w:color w:val="2E7D44"/>
          <w:sz w:val="24"/>
          <w:szCs w:val="24"/>
        </w:rPr>
        <w:t xml:space="preserve">Conservation NGOs — International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Name / Position</w:t>
            </w:r>
          </w:p>
        </w:tc>
        <w:tc>
          <w:tcPr>
            <w:tcW w:type="dxa" w:w="35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0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Role / Relevance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Country Director or senior programme staff</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Wildlife Conservation Society (WCS) PNG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Longest-established international conservation NGO in PNG; Bismarck Corridor conservation deeds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Programme Manager or Director PNG</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The Nature Conservancy (TNC) PNG</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Marine, freshwater, and terrestrial conservation portfolio across PNG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PNG Conservation Director or nominee</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WWF Papua New Guinea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Biodiversity and forest conservation; regional 30x30 advocacy</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Country Director or Programme Director</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Conservation International (CI) PNG</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ICDP history and current strategic conservation work in PNG</w:t>
            </w:r>
          </w:p>
        </w:tc>
      </w:tr>
    </w:tbl>
    <w:p>
      <w:pPr>
        <w:spacing w:after="0" w:before="160"/>
      </w:pPr>
    </w:p>
    <w:p>
      <w:pPr>
        <w:pStyle w:val="Heading2"/>
      </w:pPr>
      <w:r>
        <w:rPr>
          <w:rFonts w:ascii="Arial" w:cs="Arial" w:eastAsia="Arial" w:hAnsi="Arial"/>
          <w:b/>
          <w:bCs/>
          <w:color w:val="2E7D44"/>
          <w:sz w:val="24"/>
          <w:szCs w:val="24"/>
        </w:rPr>
        <w:t xml:space="preserve">Conservation NGOs — National and Community-Based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Name / Position</w:t>
            </w:r>
          </w:p>
        </w:tc>
        <w:tc>
          <w:tcPr>
            <w:tcW w:type="dxa" w:w="35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0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Role / Relevance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Dr Sangion Tiu, Director</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Research and Conservation Foundation (RCF) PNG, Goroka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30+ years managing Crater Mountain WMA — PNG's longest-running ICAD</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Jim Thomas, Director</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Tenkile Conservation Alliance (TCA), Sandaun Province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20+ years integrated conservation and community development, Torricelli Mountain Range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TKCP-PNG representative (TBC)</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Tree Kangaroo Conservation Program PNG, Morobe Province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Manages YUS Conservation Area — first gazetted CA in PNG; community finance model</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Moses Kirikumul Kerry, Founder/Director</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MENCERTC, Simbu Province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2022 UNDP Equator Prize winner; indigenous-led community conservation model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Jacinta Gure, caretaking Executive Director</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Partners with Melanesians (PwM), Port Moresby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PwM led 30-year Managalas engagement; institutional memory of ICAD consent-building</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Representative, PNGEA</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Papua New Guinea Environmental Alliance (PNGEA)</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National civil society voice on environmental governance and forest policy</w:t>
            </w:r>
          </w:p>
        </w:tc>
      </w:tr>
    </w:tbl>
    <w:p>
      <w:pPr>
        <w:spacing w:after="0" w:before="160"/>
      </w:pPr>
    </w:p>
    <w:p>
      <w:pPr>
        <w:pStyle w:val="Heading2"/>
      </w:pPr>
      <w:r>
        <w:rPr>
          <w:rFonts w:ascii="Arial" w:cs="Arial" w:eastAsia="Arial" w:hAnsi="Arial"/>
          <w:b/>
          <w:bCs/>
          <w:color w:val="2E7D44"/>
          <w:sz w:val="24"/>
          <w:szCs w:val="24"/>
        </w:rPr>
        <w:t xml:space="preserve">Research and Academic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Name / Position</w:t>
            </w:r>
          </w:p>
        </w:tc>
        <w:tc>
          <w:tcPr>
            <w:tcW w:type="dxa" w:w="35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0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Role / Relevance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Will Unsworth</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CIFOR-ICRAF PNG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Host organisation; MOPP project manager; MCA conservation and livelihoods research</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Tim Pagella or nominee</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Bangor University / CIFOR-ICRAF</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Agroforestry, landscapes, and conservation livelihood systems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Shahla Hosseini-Bai or nominee</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Griffith University / CIFOR-ICRAF PNG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NTFP value chains, okari, MCA livelihood development</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TBA — academic</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University of Papua New Guinea (UPNG)</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Conservation ecology or environmental policy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TBA — researcher</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James Cook University or Australian National University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Melanesian conservation social science or ecology</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TBA — postgraduate researcher</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UPNG or Divine Word University</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Emerging PNG conservation researcher</w:t>
            </w:r>
          </w:p>
        </w:tc>
      </w:tr>
    </w:tbl>
    <w:p>
      <w:pPr>
        <w:spacing w:after="0" w:before="160"/>
      </w:pPr>
    </w:p>
    <w:p>
      <w:pPr>
        <w:pStyle w:val="Heading2"/>
      </w:pPr>
      <w:r>
        <w:rPr>
          <w:rFonts w:ascii="Arial" w:cs="Arial" w:eastAsia="Arial" w:hAnsi="Arial"/>
          <w:b/>
          <w:bCs/>
          <w:color w:val="2E7D44"/>
          <w:sz w:val="24"/>
          <w:szCs w:val="24"/>
        </w:rPr>
        <w:t xml:space="preserve">Development Partners and Financing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Name / Position</w:t>
            </w:r>
          </w:p>
        </w:tc>
        <w:tc>
          <w:tcPr>
            <w:tcW w:type="dxa" w:w="35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0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Role / Relevance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EU-FCCB Programme Coordinator</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EU Delegation to Papua New Guinea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Programme funder — observer and programme learning role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Programme Manager or Technical Advisor</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GIZ PNG</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German development cooperation, NRM and forestry programmes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GEF Small Grants Programme Officer</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UNDP PNG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Community-based conservation financing and small grants experience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Senior Officer</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Mama Graun Conservation Trust Fund</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Conservation trust fund management in PNG</w:t>
            </w:r>
          </w:p>
        </w:tc>
      </w:tr>
    </w:tbl>
    <w:p>
      <w:pPr>
        <w:spacing w:after="0" w:before="160"/>
      </w:pPr>
    </w:p>
    <w:p>
      <w:pPr>
        <w:pStyle w:val="Heading2"/>
      </w:pPr>
      <w:r>
        <w:rPr>
          <w:rFonts w:ascii="Arial" w:cs="Arial" w:eastAsia="Arial" w:hAnsi="Arial"/>
          <w:b/>
          <w:bCs/>
          <w:color w:val="2E7D44"/>
          <w:sz w:val="24"/>
          <w:szCs w:val="24"/>
        </w:rPr>
        <w:t xml:space="preserve">Customary Landowner Representatives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Name / Position</w:t>
            </w:r>
          </w:p>
        </w:tc>
        <w:tc>
          <w:tcPr>
            <w:tcW w:type="dxa" w:w="3526"/>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000"/>
            <w:tcBorders>
              <w:top w:val="single" w:color="1F5C2E" w:sz="8"/>
              <w:left w:val="single" w:color="1F5C2E" w:sz="8"/>
              <w:bottom w:val="single" w:color="1F5C2E" w:sz="8"/>
              <w:right w:val="single" w:color="1F5C2E" w:sz="8"/>
            </w:tcBorders>
            <w:shd w:fill="1F5C2E" w:val="clear"/>
            <w:tcMar>
              <w:top w:type="dxa" w:w="100"/>
              <w:left w:type="dxa" w:w="120"/>
              <w:bottom w:type="dxa" w:w="100"/>
              <w:right w:type="dxa" w:w="120"/>
            </w:tcMar>
          </w:tcPr>
          <w:p>
            <w:r>
              <w:rPr>
                <w:rFonts w:ascii="Arial" w:cs="Arial" w:eastAsia="Arial" w:hAnsi="Arial"/>
                <w:b/>
                <w:bCs/>
                <w:color w:val="FFFFFF"/>
                <w:sz w:val="20"/>
                <w:szCs w:val="20"/>
              </w:rPr>
              <w:t xml:space="preserve">Role / Relevance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Malchus Kajia, Chair</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Managalas Conservation Foundation (MCF), Oro Province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MCA customary landowner governance; MCF Chair since inception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Women's representative</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MCA Women's Group or LLG Women's Committee, Oro Province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Gender and conservation at community level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5C2E"/>
                <w:sz w:val="20"/>
                <w:szCs w:val="20"/>
              </w:rPr>
              <w:t xml:space="preserve">Customary landowner representative</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Crater Mountain WMA community, Eastern Highlands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Comparator long-running ICAD community experience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5C2E"/>
                <w:sz w:val="20"/>
                <w:szCs w:val="20"/>
              </w:rPr>
              <w:t xml:space="preserve">Community ranger / conservation warden</w:t>
            </w:r>
          </w:p>
        </w:tc>
        <w:tc>
          <w:tcPr>
            <w:tcW w:type="dxa" w:w="3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MCA, Oro Province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Frontline conservation implementation voice</w:t>
            </w:r>
          </w:p>
        </w:tc>
      </w:tr>
    </w:tbl>
    <w:p>
      <w:pPr>
        <w:spacing w:after="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5C2E" w:sz="6"/>
              <w:left w:val="single" w:color="1F5C2E" w:sz="6"/>
              <w:bottom w:val="single" w:color="1F5C2E" w:sz="6"/>
              <w:right w:val="single" w:color="1F5C2E" w:sz="6"/>
            </w:tcBorders>
            <w:shd w:fill="D6EAD9" w:val="clear"/>
            <w:tcMar>
              <w:top w:type="dxa" w:w="160"/>
              <w:left w:type="dxa" w:w="240"/>
              <w:bottom w:type="dxa" w:w="160"/>
              <w:right w:type="dxa" w:w="240"/>
            </w:tcMar>
          </w:tcPr>
          <w:p>
            <w:pPr>
              <w:spacing w:after="60" w:before="60"/>
            </w:pPr>
            <w:r>
              <w:rPr>
                <w:rFonts w:ascii="Arial" w:cs="Arial" w:eastAsia="Arial" w:hAnsi="Arial"/>
                <w:color w:val="1F5C2E"/>
                <w:sz w:val="22"/>
                <w:szCs w:val="22"/>
              </w:rPr>
              <w:t xml:space="preserve">Notes on invitee strategy:</w:t>
            </w:r>
          </w:p>
          <w:p>
            <w:pPr>
              <w:spacing w:after="60" w:before="60"/>
            </w:pPr>
            <w:r>
              <w:rPr>
                <w:rFonts w:ascii="Arial" w:cs="Arial" w:eastAsia="Arial" w:hAnsi="Arial"/>
                <w:color w:val="1F5C2E"/>
                <w:sz w:val="22"/>
                <w:szCs w:val="22"/>
              </w:rPr>
              <w:t xml:space="preserve">— Invitations should be issued at least 8 weeks before the symposium to allow domestic flight bookings.</w:t>
            </w:r>
          </w:p>
          <w:p>
            <w:pPr>
              <w:spacing w:after="60" w:before="60"/>
            </w:pPr>
            <w:r>
              <w:rPr>
                <w:rFonts w:ascii="Arial" w:cs="Arial" w:eastAsia="Arial" w:hAnsi="Arial"/>
                <w:color w:val="1F5C2E"/>
                <w:sz w:val="22"/>
                <w:szCs w:val="22"/>
              </w:rPr>
              <w:t xml:space="preserve">— Priority confirmations: CEPA, WCS, TNC, WWF, CI, RCF, MCF landowner representatives.</w:t>
            </w:r>
          </w:p>
          <w:p>
            <w:pPr>
              <w:spacing w:after="60" w:before="60"/>
            </w:pPr>
            <w:r>
              <w:rPr>
                <w:rFonts w:ascii="Arial" w:cs="Arial" w:eastAsia="Arial" w:hAnsi="Arial"/>
                <w:color w:val="1F5C2E"/>
                <w:sz w:val="22"/>
                <w:szCs w:val="22"/>
              </w:rPr>
              <w:t xml:space="preserve">— A waiting list of 5–8 additional participants should be maintained.</w:t>
            </w:r>
          </w:p>
          <w:p>
            <w:pPr>
              <w:spacing w:after="60" w:before="60"/>
            </w:pPr>
            <w:r>
              <w:rPr>
                <w:rFonts w:ascii="Arial" w:cs="Arial" w:eastAsia="Arial" w:hAnsi="Arial"/>
                <w:color w:val="1F5C2E"/>
                <w:sz w:val="22"/>
                <w:szCs w:val="22"/>
              </w:rPr>
              <w:t xml:space="preserve">— All participants require written consent prior to inclusion in published proceedings or any peer-reviewed output.</w:t>
            </w:r>
          </w:p>
          <w:p>
            <w:pPr>
              <w:spacing w:after="60" w:before="60"/>
            </w:pPr>
            <w:r>
              <w:rPr>
                <w:rFonts w:ascii="Arial" w:cs="Arial" w:eastAsia="Arial" w:hAnsi="Arial"/>
                <w:color w:val="1F5C2E"/>
                <w:sz w:val="22"/>
                <w:szCs w:val="22"/>
              </w:rPr>
              <w:t xml:space="preserve">— Gender balance target: minimum 40% women participants across all categories.</w:t>
            </w:r>
          </w:p>
          <w:p>
            <w:pPr>
              <w:spacing w:after="60" w:before="60"/>
            </w:pPr>
            <w:r>
              <w:rPr>
                <w:rFonts w:ascii="Arial" w:cs="Arial" w:eastAsia="Arial" w:hAnsi="Arial"/>
                <w:color w:val="1F5C2E"/>
                <w:sz w:val="22"/>
                <w:szCs w:val="22"/>
              </w:rPr>
              <w:t xml:space="preserve">— Participants from outside Oro Province travelling by air should be confirmed and ticketed centrally by CIFOR-ICRAF PNG.</w:t>
            </w:r>
          </w:p>
        </w:tc>
      </w:tr>
    </w:tbl>
    <w:p>
      <w:pPr>
        <w:spacing w:after="0" w:before="400"/>
      </w:pPr>
    </w:p>
    <w:p>
      <w:pPr>
        <w:pBdr>
          <w:bottom w:val="single" w:color="C9942A" w:sz="12" w:space="1"/>
        </w:pBdr>
        <w:spacing w:after="200" w:before="0"/>
      </w:pPr>
    </w:p>
    <w:p>
      <w:pPr>
        <w:spacing w:after="80" w:before="160"/>
        <w:jc w:val="center"/>
      </w:pPr>
      <w:r>
        <w:rPr>
          <w:rFonts w:ascii="Arial" w:cs="Arial" w:eastAsia="Arial" w:hAnsi="Arial"/>
          <w:i/>
          <w:iCs/>
          <w:color w:val="888888"/>
          <w:sz w:val="18"/>
          <w:szCs w:val="18"/>
        </w:rPr>
        <w:t xml:space="preserve">Document prepared by CIFOR-ICRAF Papua New Guinea | EU Forestry, Climate Change and Biodiversity Nexus Programme</w:t>
      </w:r>
    </w:p>
    <w:p>
      <w:pPr>
        <w:spacing w:after="0" w:before="0"/>
        <w:jc w:val="center"/>
      </w:pPr>
      <w:r>
        <w:rPr>
          <w:rFonts w:ascii="Arial" w:cs="Arial" w:eastAsia="Arial" w:hAnsi="Arial"/>
          <w:i/>
          <w:iCs/>
          <w:color w:val="888888"/>
          <w:sz w:val="18"/>
          <w:szCs w:val="18"/>
        </w:rPr>
        <w:t xml:space="preserve">This document is confidential and intended for internal planning and EU-FCCB programme approval purposes.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2E" w:sz="6" w:space="1"/>
      </w:pBdr>
      <w:spacing w:before="80"/>
    </w:pPr>
    <w:r>
      <w:rPr>
        <w:rFonts w:ascii="Arial" w:cs="Arial" w:eastAsia="Arial" w:hAnsi="Arial"/>
        <w:color w:val="888888"/>
        <w:sz w:val="16"/>
        <w:szCs w:val="16"/>
      </w:rPr>
      <w:t xml:space="preserve">Funded by the European Union | EU-FCCB Nexus Programme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2E" w:sz="6" w:space="1"/>
      </w:pBdr>
      <w:spacing w:after="0"/>
    </w:pPr>
    <w:r>
      <w:rPr>
        <w:rFonts w:ascii="Arial" w:cs="Arial" w:eastAsia="Arial" w:hAnsi="Arial"/>
        <w:color w:val="888888"/>
        <w:sz w:val="16"/>
        <w:szCs w:val="16"/>
      </w:rPr>
      <w:t xml:space="preserve">CIFOR-ICRAF | EU-FCCB Nexus Programme  |  Practitioner Symposium — Popondetta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5C2E"/>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2E7D44"/>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C994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2026-06-29T06:43:14.917Z</dcterms:created>
  <dcterms:modified xsi:type="dcterms:W3CDTF">2026-06-29T06:43:14.933Z</dcterms:modified>
</cp:coreProperties>
</file>

<file path=docProps/custom.xml><?xml version="1.0" encoding="utf-8"?>
<Properties xmlns="http://schemas.openxmlformats.org/officeDocument/2006/custom-properties" xmlns:vt="http://schemas.openxmlformats.org/officeDocument/2006/docPropsVTypes"/>
</file>