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5C2E" w:val="clear"/>
        <w:spacing w:after="0" w:before="40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CLAUDE CODE HANDOVER DOCUMENT</w:t>
      </w:r>
    </w:p>
    <w:p>
      <w:pPr>
        <w:shd w:fill="1F5C2E" w:val="clear"/>
      </w:pPr>
      <w:r>
        <w:rPr>
          <w:rFonts w:ascii="Arial" w:cs="Arial" w:eastAsia="Arial" w:hAnsi="Arial"/>
          <w:color w:val="FFFFFF"/>
          <w:sz w:val="8"/>
          <w:szCs w:val="8"/>
        </w:rPr>
        <w:t xml:space="preserve"> </w:t>
      </w:r>
    </w:p>
    <w:p>
      <w:pPr>
        <w:shd w:fill="1F5C2E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C9942A"/>
          <w:sz w:val="32"/>
          <w:szCs w:val="32"/>
        </w:rPr>
        <w:t xml:space="preserve">Managalas and Oro Province Project (MOPP)</w:t>
      </w:r>
    </w:p>
    <w:p>
      <w:pPr>
        <w:shd w:fill="1F5C2E" w:val="clear"/>
      </w:pPr>
      <w:r>
        <w:rPr>
          <w:rFonts w:ascii="Arial" w:cs="Arial" w:eastAsia="Arial" w:hAnsi="Arial"/>
          <w:color w:val="FFFFFF"/>
          <w:sz w:val="8"/>
          <w:szCs w:val="8"/>
        </w:rPr>
        <w:t xml:space="preserve"> </w:t>
      </w:r>
    </w:p>
    <w:p>
      <w:pPr>
        <w:shd w:fill="1F5C2E" w:val="clear"/>
        <w:spacing w:after="400" w:before="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CIFOR-ICRAF Papua New Guinea  |  EU-FCCB Nexus Programme</w:t>
      </w:r>
    </w:p>
    <w:p>
      <w:pPr>
        <w:spacing w:after="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5C2E" w:sz="6"/>
              <w:left w:val="single" w:color="1F5C2E" w:sz="6"/>
              <w:bottom w:val="single" w:color="1F5C2E" w:sz="6"/>
              <w:right w:val="single" w:color="1F5C2E" w:sz="6"/>
            </w:tcBorders>
            <w:shd w:fill="D6EAD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1F5C2E"/>
                <w:sz w:val="20"/>
                <w:szCs w:val="20"/>
              </w:rPr>
              <w:t xml:space="preserve">Purpose:          Context transfer from Claude.ai conversation to Claude Code environment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F5C2E"/>
                <w:sz w:val="20"/>
                <w:szCs w:val="20"/>
              </w:rPr>
              <w:t xml:space="preserve">Prepared by:   Claude Sonnet 4.6 (Claude.ai, Project: MOPP)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F5C2E"/>
                <w:sz w:val="20"/>
                <w:szCs w:val="20"/>
              </w:rPr>
              <w:t xml:space="preserve">For:                 Will Unsworth, Country Manager, CIFOR-ICRAF PNG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F5C2E"/>
                <w:sz w:val="20"/>
                <w:szCs w:val="20"/>
              </w:rPr>
              <w:t xml:space="preserve">Date:               July 2026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F5C2E"/>
                <w:sz w:val="20"/>
                <w:szCs w:val="20"/>
              </w:rPr>
              <w:t xml:space="preserve">Status:             Active workstreams — ongoing</w:t>
            </w:r>
          </w:p>
        </w:tc>
      </w:tr>
    </w:tbl>
    <w:p>
      <w:pPr>
        <w:spacing w:after="0" w:before="600"/>
      </w:pPr>
    </w:p>
    <w:p>
      <w:pPr>
        <w:shd w:fill="1F5C2E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1 — STANDING RULES (APPLY TO ALL OUTPUTS)</w:t>
      </w:r>
    </w:p>
    <w:p>
      <w:pPr>
        <w:shd w:fill="1F5C2E" w:val="clear"/>
      </w:pPr>
      <w:r>
        <w:rPr>
          <w:rFonts w:ascii="Arial" w:cs="Arial" w:eastAsia="Arial" w:hAnsi="Arial"/>
          <w:color w:val="FFFFFF"/>
          <w:sz w:val="8"/>
          <w:szCs w:val="8"/>
        </w:rPr>
        <w:t xml:space="preserve"> </w:t>
      </w:r>
    </w:p>
    <w:p>
      <w:pPr>
        <w:spacing w:after="0" w:before="160"/>
      </w:pPr>
    </w:p>
    <w:p>
      <w:pPr>
        <w:spacing w:after="100" w:before="6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These rules must be applied to every document output without exception. They override defaults.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MCA area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214,696 ha — never rounded, never varied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EU attribution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Every document must credit the European Union as funder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Spelling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British English throughout (organisation, recognised, programme, etc.)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Version suffixes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Every file must carry _v1, _v2, _v3 etc. suffix — no exceptions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Page numbers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All Word documents must include page numbers in footer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Currency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PGK (Papua New Guinean Kina) for PNG-facing outputs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No fabrication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Zero invented data, citations, or figures. Flag all uncertainty explicitly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No edits without go-ahead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Never implement document changes until Will gives explicit instruction ('Let's Go' or equivalent)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Standardisation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Apply formatting rules (captions, tables, section numbering, EU credit) across entire document, not just edited sections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Field knowledge priority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Will's direct field knowledge overrides web search or modelled output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American English exception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Massoia/Eaglewood trajectory paper uses American English. Official programme names keep their official spelling regardless.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PGK-USD rate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Massoia paper: refresh exchange rate at submission time. Current basis: PGK 4/kg ≈ USD 0.95/kg (2025 field-research era)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Project Tracker authority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For Key Partners/Responsible Partner field discrepancies, Google Sheet version is authoritative over narrative documents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Task weightings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'Assess potential to publish' and 'Communicate findings' tasks = 2.5% each (5% combined) of activity total weight</w:t>
            </w:r>
          </w:p>
        </w:tc>
      </w:tr>
    </w:tbl>
    <w:p>
      <w:pPr>
        <w:spacing w:after="0" w:before="400"/>
      </w:pPr>
    </w:p>
    <w:p>
      <w:pPr>
        <w:shd w:fill="1F5C2E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2 — PROJECT CONTEXT</w:t>
      </w:r>
    </w:p>
    <w:p>
      <w:pPr>
        <w:shd w:fill="1F5C2E" w:val="clear"/>
      </w:pPr>
      <w:r>
        <w:rPr>
          <w:rFonts w:ascii="Arial" w:cs="Arial" w:eastAsia="Arial" w:hAnsi="Arial"/>
          <w:color w:val="FFFFFF"/>
          <w:sz w:val="8"/>
          <w:szCs w:val="8"/>
        </w:rPr>
        <w:t xml:space="preserve"> </w:t>
      </w:r>
    </w:p>
    <w:p>
      <w:pPr>
        <w:spacing w:after="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2E"/>
          <w:sz w:val="28"/>
          <w:szCs w:val="28"/>
        </w:rPr>
        <w:t xml:space="preserve">2.1 Organisation and Programme</w:t>
      </w:r>
    </w:p>
    <w:p>
      <w:pPr>
        <w:pBdr>
          <w:bottom w:val="single" w:color="1F5C2E" w:sz="12" w:space="1"/>
        </w:pBdr>
        <w:spacing w:after="160" w:before="0"/>
      </w:pPr>
    </w:p>
    <w:p>
      <w:pPr>
        <w:spacing w:after="100" w:before="6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Will Unsworth is Country Manager and Project Manager for CIFOR-ICRAF Papua New Guinea, leading the Managalas and Oro Province Project (MOPP) — an EU-funded initiative under the EU Forestry, Climate Change and Biodiversity (EU-FCCB) Nexus Programme. The project is described at https://www.landscapealliance.org/managalas-oro-province-project/ and centres on the Managalas Conservation Area (MCA) in Oro Province, Papua New Guinea.</w:t>
      </w:r>
    </w:p>
    <w:p>
      <w:pPr>
        <w:spacing w:after="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2E"/>
          <w:sz w:val="28"/>
          <w:szCs w:val="28"/>
        </w:rPr>
        <w:t xml:space="preserve">2.2 Key Terminology</w:t>
      </w:r>
    </w:p>
    <w:p>
      <w:pPr>
        <w:pBdr>
          <w:bottom w:val="single" w:color="1F5C2E" w:sz="12" w:space="1"/>
        </w:pBdr>
        <w:spacing w:after="160" w:before="0"/>
      </w:pPr>
    </w:p>
    <w:p>
      <w:pPr>
        <w:spacing w:after="100" w:before="6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following acronyms and terms are in active use across all workstreams: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MCA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Managalas Conservation Area — 214,696 ha, Oro Province, PNG. Gazetted 2017 under the Conservation Areas Act 1978. Not an ICAD — distinct legal instrument and consent-building process.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MOPP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Managalas and Oro Province Project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CAMP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Conservation Area Management Plan — currently at Draft 19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MCF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Managalas Conservation Foundation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CAMC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Conservation Area Management Committee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CEPA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Conservation and Environment Protection Authority (PNG)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EU-FCCB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EU Forestry, Climate Change and Biodiversity Nexus Programme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ICAD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Integrated Conservation and Development Area — PNG legal/programmatic instrument under WMA/Conservation Areas framework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ICDP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Integrated Conservation and Development Project — the global programmatic model from 1980s–2000s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WMA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Wildlife Management Area — PNG legal instrument under Fauna (Protection and Control) Act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PwM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Partners with Melanesians — NGO that led 30-year MCA consent process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RFN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Rainforest Foundation Norway — long-term MCA funder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LEK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Local Ecological Knowledge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PES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Payment for Ecosystem Services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EUDR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EU Deforestation Regulation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IFL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Intact Forest Landscapes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KBA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Key Biodiversity Areas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PNGRIS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Papua New Guinea Resource Information System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QABB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Queen Alexandra's Birdwing Butterfly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PNGFA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Papua New Guinea Forest Authority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NEC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National Executive Council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MLA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Multicriteria Landscape Analysis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HHS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Household Survey (Unsworth et al. 2024) — 1,163 households across 11 zones</w:t>
            </w:r>
          </w:p>
        </w:tc>
      </w:tr>
    </w:tbl>
    <w:p>
      <w:pPr>
        <w:spacing w:after="0" w:before="4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2E"/>
          <w:sz w:val="28"/>
          <w:szCs w:val="28"/>
        </w:rPr>
        <w:t xml:space="preserve">2.3 Key Colleagues and Partners</w:t>
      </w:r>
    </w:p>
    <w:p>
      <w:pPr>
        <w:pBdr>
          <w:bottom w:val="single" w:color="1F5C2E" w:sz="12" w:space="1"/>
        </w:pBd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3526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Mellie Musonera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CIFOR-ICRAF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Document editor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Joshua Ombo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CIFOR-ICRAF PNG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Field/programme staff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Dickson Darebo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MCF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MCF staff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Swancy Saiva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CIFOR-ICRAF PNG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Programme staff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Malchus Kajia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MCF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Chair, MCF — confirmed symposium invitee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Rhett Harrisson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CIFOR-ICRAF Zambia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Regional colleague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Tim Pagella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Bangor University / CIFOR-ICRAF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Co-author, firewood paper and others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Allan Peter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CIFOR-ICRAF PNG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Co-author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Christine Pokana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Postgraduate / field researcher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Field researcher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Shahla Hosseini-Bai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Griffith University / CIFOR-ICRAF PNG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Contracted researcher — NTFPs, okari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Jacinta Gure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Partners with Melanesians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Caretaking ED — confirmed symposium invitee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Dr Sangion Tiu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RCF PNG, Goroka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Director RCF — confirmed symposium invitee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Jim Thomas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Tenkile Conservation Alliance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Director — confirmed symposium invitee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Moses Kerry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MENCERTC, Simbu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Director, 2022 UNDP Equator Prize winner — confirmed invitee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Rune Paulsen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Rainforest Foundation Norway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30-year MCA involvement — video contribution only</w:t>
            </w:r>
          </w:p>
        </w:tc>
      </w:tr>
    </w:tbl>
    <w:p>
      <w:pPr>
        <w:spacing w:after="0" w:before="400"/>
      </w:pPr>
    </w:p>
    <w:p>
      <w:pPr>
        <w:shd w:fill="1F5C2E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3 — ACTIVE WORKSTREAMS AND CURRENT STATUS</w:t>
      </w:r>
    </w:p>
    <w:p>
      <w:pPr>
        <w:shd w:fill="1F5C2E" w:val="clear"/>
      </w:pPr>
      <w:r>
        <w:rPr>
          <w:rFonts w:ascii="Arial" w:cs="Arial" w:eastAsia="Arial" w:hAnsi="Arial"/>
          <w:color w:val="FFFFFF"/>
          <w:sz w:val="8"/>
          <w:szCs w:val="8"/>
        </w:rPr>
        <w:t xml:space="preserve"> </w:t>
      </w:r>
    </w:p>
    <w:p>
      <w:pPr>
        <w:spacing w:after="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2E"/>
          <w:sz w:val="28"/>
          <w:szCs w:val="28"/>
        </w:rPr>
        <w:t xml:space="preserve">3.1 Conservation Area Management Plan (CAMP)</w:t>
      </w:r>
    </w:p>
    <w:p>
      <w:pPr>
        <w:pBdr>
          <w:bottom w:val="single" w:color="1F5C2E" w:sz="12" w:space="1"/>
        </w:pBdr>
        <w:spacing w:after="160" w:before="0"/>
      </w:pPr>
    </w:p>
    <w:p>
      <w:pPr>
        <w:spacing w:after="100" w:before="6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Status: Draft 19. A 100+ page document undergoing systematic editing. The most recent session addressed structure, content, figures, tables, and formatting.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IUCN Category V (Protected Landscape) confirmed</w:t>
      </w:r>
    </w:p>
    <w:p>
      <w:pPr>
        <w:pStyle w:val="ListParagraph"/>
        <w:numPr>
          <w:ilvl w:val="0"/>
          <w:numId w:val="2"/>
        </w:numPr>
        <w:spacing w:after="60" w:before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Kuaefienami stated as fact, unattributed</w:t>
      </w:r>
    </w:p>
    <w:p>
      <w:pPr>
        <w:pStyle w:val="ListParagraph"/>
        <w:numPr>
          <w:ilvl w:val="0"/>
          <w:numId w:val="2"/>
        </w:numPr>
        <w:spacing w:after="60" w:before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PNGRIS 2008 soil dataset confirmed</w:t>
      </w:r>
    </w:p>
    <w:p>
      <w:pPr>
        <w:pStyle w:val="ListParagraph"/>
        <w:numPr>
          <w:ilvl w:val="0"/>
          <w:numId w:val="2"/>
        </w:numPr>
        <w:spacing w:after="60" w:before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Prioritisation/scoring framework removed</w:t>
      </w:r>
    </w:p>
    <w:p>
      <w:pPr>
        <w:pStyle w:val="ListParagraph"/>
        <w:numPr>
          <w:ilvl w:val="0"/>
          <w:numId w:val="2"/>
        </w:numPr>
        <w:spacing w:after="60" w:before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Figure 1 shows the 2012 NEC gazettal boundary map</w:t>
      </w:r>
    </w:p>
    <w:p>
      <w:pPr>
        <w:pStyle w:val="ListParagraph"/>
        <w:numPr>
          <w:ilvl w:val="0"/>
          <w:numId w:val="2"/>
        </w:numPr>
        <w:spacing w:after="60" w:before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OUTSTANDING: Merging standardised 11-zone land use rules matrices into Section 5.3</w:t>
      </w:r>
    </w:p>
    <w:p>
      <w:pPr>
        <w:pStyle w:val="ListParagraph"/>
        <w:numPr>
          <w:ilvl w:val="0"/>
          <w:numId w:val="2"/>
        </w:numPr>
        <w:spacing w:after="60" w:before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Source file: MCA_CAMP_Draft_19.docx (in Project Knowledge)</w:t>
      </w:r>
    </w:p>
    <w:p>
      <w:pPr>
        <w:pStyle w:val="ListParagraph"/>
        <w:numPr>
          <w:ilvl w:val="0"/>
          <w:numId w:val="2"/>
        </w:numPr>
        <w:spacing w:after="60" w:before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Standardised Land Use Rules Matrix source: Standardised_Land_Use_Rules_Matrix_v2.docx</w:t>
      </w:r>
    </w:p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2E"/>
          <w:sz w:val="28"/>
          <w:szCs w:val="28"/>
        </w:rPr>
        <w:t xml:space="preserve">3.2 Journal Articles (Three Active)</w:t>
      </w:r>
    </w:p>
    <w:p>
      <w:pPr>
        <w:pBdr>
          <w:bottom w:val="single" w:color="1F5C2E" w:sz="12" w:space="1"/>
        </w:pBdr>
        <w:spacing w:after="160" w:before="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D44"/>
          <w:sz w:val="24"/>
          <w:szCs w:val="24"/>
        </w:rPr>
        <w:t xml:space="preserve">3.2a MCA Governance / History Paper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Target journal: TBD. Thesis: MCA was established through community land-rights protection, not systematic conservation planning. Draft ~2,970 words prose + references.</w:t>
      </w:r>
    </w:p>
    <w:p>
      <w:pPr>
        <w:pStyle w:val="ListParagraph"/>
        <w:numPr>
          <w:ilvl w:val="0"/>
          <w:numId w:val="2"/>
        </w:numPr>
        <w:spacing w:after="60" w:before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OUTSTANDING: Governance/consensus-building section not yet drafted — confirmed next step</w:t>
      </w:r>
    </w:p>
    <w:p>
      <w:pPr>
        <w:pStyle w:val="ListParagraph"/>
        <w:numPr>
          <w:ilvl w:val="0"/>
          <w:numId w:val="2"/>
        </w:numPr>
        <w:spacing w:after="60" w:before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Key source: Orsak 1992 Vols 1–4 (in Project Knowledge)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D44"/>
          <w:sz w:val="24"/>
          <w:szCs w:val="24"/>
        </w:rPr>
        <w:t xml:space="preserve">3.2b Clan Elder Workshop Land Use Rules Paper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Target journal: Conservation &amp; Society (9,000-word cap). 980 valid rules across 11 zones, 10 land use types × 10 activities. Currently at v14+.</w:t>
      </w:r>
    </w:p>
    <w:p>
      <w:pPr>
        <w:pStyle w:val="ListParagraph"/>
        <w:numPr>
          <w:ilvl w:val="0"/>
          <w:numId w:val="2"/>
        </w:numPr>
        <w:spacing w:after="60" w:before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OUTSTANDING before submission: Research Ethics Approval statement, Data Availability statement, Author Contributions statement</w:t>
      </w:r>
    </w:p>
    <w:p>
      <w:pPr>
        <w:pStyle w:val="ListParagraph"/>
        <w:numPr>
          <w:ilvl w:val="0"/>
          <w:numId w:val="2"/>
        </w:numPr>
        <w:spacing w:after="60" w:before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Source: MCA_Clan_Elder_Workshops_Compiled_v2.docx (in Project Knowledge)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D44"/>
          <w:sz w:val="24"/>
          <w:szCs w:val="24"/>
        </w:rPr>
        <w:t xml:space="preserve">3.2c Firewood Use in MCA Paper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Target journal: Ecosystems and People or Trees, Forests and People. Currently at v8. Co-authors: Tim Pagella (tracked-change edits provided), Allan Peter, Swancy Saiva, Joshua Ombo.</w:t>
      </w:r>
    </w:p>
    <w:p>
      <w:pPr>
        <w:pStyle w:val="ListParagraph"/>
        <w:numPr>
          <w:ilvl w:val="0"/>
          <w:numId w:val="2"/>
        </w:numPr>
        <w:spacing w:after="60" w:before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Key methodological decisions confirmed</w:t>
      </w:r>
    </w:p>
    <w:p>
      <w:pPr>
        <w:pStyle w:val="ListParagraph"/>
        <w:numPr>
          <w:ilvl w:val="0"/>
          <w:numId w:val="2"/>
        </w:numPr>
        <w:spacing w:after="60" w:before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Ring-barking/standing deadwood finding deferred to separate future paper pending biomass data</w:t>
      </w:r>
    </w:p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2E"/>
          <w:sz w:val="28"/>
          <w:szCs w:val="28"/>
        </w:rPr>
        <w:t xml:space="preserve">3.3 Value Chains and Livelihoods Analysis</w:t>
      </w:r>
    </w:p>
    <w:p>
      <w:pPr>
        <w:pBdr>
          <w:bottom w:val="single" w:color="1F5C2E" w:sz="12" w:space="1"/>
        </w:pBdr>
        <w:spacing w:after="160" w:before="0"/>
      </w:pPr>
    </w:p>
    <w:p>
      <w:pPr>
        <w:spacing w:after="100" w:before="6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Combined Word document: MCA_ValueChains_Baselines_Diagnostics_Synergies_Activities_v6.docx — 101 pages integrating 20 value chain baselines, diagnostic cards, synergy matrix (v9), and proposed activities.</w:t>
      </w:r>
    </w:p>
    <w:p>
      <w:pPr>
        <w:pStyle w:val="ListParagraph"/>
        <w:numPr>
          <w:ilvl w:val="0"/>
          <w:numId w:val="2"/>
        </w:numPr>
        <w:spacing w:after="60" w:before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Seven standardised cluster names established (all ending in 'cluster')</w:t>
      </w:r>
    </w:p>
    <w:p>
      <w:pPr>
        <w:pStyle w:val="ListParagraph"/>
        <w:numPr>
          <w:ilvl w:val="0"/>
          <w:numId w:val="2"/>
        </w:numPr>
        <w:spacing w:after="60" w:before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Companion verification register and target-markets spreadsheet produced</w:t>
      </w:r>
    </w:p>
    <w:p>
      <w:pPr>
        <w:pStyle w:val="ListParagraph"/>
        <w:numPr>
          <w:ilvl w:val="0"/>
          <w:numId w:val="2"/>
        </w:numPr>
        <w:spacing w:after="60" w:before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Synergy matrix source: MCA_Synergy_Matrix_editable_v9.xlsx</w:t>
      </w:r>
    </w:p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2E"/>
          <w:sz w:val="28"/>
          <w:szCs w:val="28"/>
        </w:rPr>
        <w:t xml:space="preserve">3.4 Practitioner Symposium — Conservation in PNG</w:t>
      </w:r>
    </w:p>
    <w:p>
      <w:pPr>
        <w:pBdr>
          <w:bottom w:val="single" w:color="1F5C2E" w:sz="12" w:space="1"/>
        </w:pBdr>
        <w:spacing w:after="160" w:before="0"/>
      </w:pPr>
    </w:p>
    <w:p>
      <w:pPr>
        <w:spacing w:after="100" w:before="6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 two-day practitioner symposium to be held in Popondetta, Oro Province, funded by EU-FCCB and implemented by CIFOR-ICRAF. Current document: Symposium_ConceptNote_Popondetta_v2.docx (output file).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5C2E" w:sz="6"/>
              <w:left w:val="single" w:color="1F5C2E" w:sz="6"/>
              <w:bottom w:val="single" w:color="1F5C2E" w:sz="6"/>
              <w:right w:val="single" w:color="1F5C2E" w:sz="6"/>
            </w:tcBorders>
            <w:shd w:fill="D6EAD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1F5C2E"/>
                <w:sz w:val="20"/>
                <w:szCs w:val="20"/>
              </w:rPr>
              <w:t xml:space="preserve">Symposium theme:  Conservation in the Context of Customary Land Ownership in PNG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F5C2E"/>
                <w:sz w:val="20"/>
                <w:szCs w:val="20"/>
              </w:rPr>
              <w:t xml:space="preserve">Framing:               Kunming-Montreal GBF 30x30 Target — what needs to change for PNG to achieve this?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F5C2E"/>
                <w:sz w:val="20"/>
                <w:szCs w:val="20"/>
              </w:rPr>
              <w:t xml:space="preserve">Format:                 Day 1: 10 structured presentations (15 min + 5 Q&amp;A) with 25-min thematic discussion before each break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F5C2E"/>
                <w:sz w:val="20"/>
                <w:szCs w:val="20"/>
              </w:rPr>
              <w:t xml:space="preserve">                              Day 2: Open deliberation, working groups, priority-setting, communiqué drafting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F5C2E"/>
                <w:sz w:val="20"/>
                <w:szCs w:val="20"/>
              </w:rPr>
              <w:t xml:space="preserve">Hidden output:      Peer-reviewed journal article 'Practitioner Views on Conservation Approaches in PNG'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1F5C2E"/>
                <w:sz w:val="20"/>
                <w:szCs w:val="20"/>
              </w:rPr>
              <w:t xml:space="preserve">                              (participants not told in advance; co-authorship offered post-event)</w:t>
            </w:r>
          </w:p>
        </w:tc>
      </w:tr>
    </w:tbl>
    <w:p>
      <w:pPr>
        <w:spacing w:after="0" w:before="160"/>
      </w:pPr>
    </w:p>
    <w:p>
      <w:pPr>
        <w:spacing w:after="100" w:before="6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Confirmed invitees / speakers:</w:t>
      </w:r>
    </w:p>
    <w:p>
      <w:pPr>
        <w:pStyle w:val="ListParagraph"/>
        <w:numPr>
          <w:ilvl w:val="0"/>
          <w:numId w:val="2"/>
        </w:numPr>
        <w:spacing w:after="60" w:before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Malchus Kajia — MCF Chair, customary landowner voice (MCA)</w:t>
      </w:r>
    </w:p>
    <w:p>
      <w:pPr>
        <w:pStyle w:val="ListParagraph"/>
        <w:numPr>
          <w:ilvl w:val="0"/>
          <w:numId w:val="2"/>
        </w:numPr>
        <w:spacing w:after="60" w:before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Dr Sangion Tiu — RCF PNG Director (Crater Mountain WMA, 30+ years)</w:t>
      </w:r>
    </w:p>
    <w:p>
      <w:pPr>
        <w:pStyle w:val="ListParagraph"/>
        <w:numPr>
          <w:ilvl w:val="0"/>
          <w:numId w:val="2"/>
        </w:numPr>
        <w:spacing w:after="60" w:before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Jim Thomas — Tenkile Conservation Alliance Director</w:t>
      </w:r>
    </w:p>
    <w:p>
      <w:pPr>
        <w:pStyle w:val="ListParagraph"/>
        <w:numPr>
          <w:ilvl w:val="0"/>
          <w:numId w:val="2"/>
        </w:numPr>
        <w:spacing w:after="60" w:before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Moses Kerry — MENCERTC Director (UNDP Equator Prize 2022)</w:t>
      </w:r>
    </w:p>
    <w:p>
      <w:pPr>
        <w:pStyle w:val="ListParagraph"/>
        <w:numPr>
          <w:ilvl w:val="0"/>
          <w:numId w:val="2"/>
        </w:numPr>
        <w:spacing w:after="60" w:before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Jacinta Gure — Partners with Melanesians (MCA institutional memory)</w:t>
      </w:r>
    </w:p>
    <w:p>
      <w:pPr>
        <w:pStyle w:val="ListParagraph"/>
        <w:numPr>
          <w:ilvl w:val="0"/>
          <w:numId w:val="2"/>
        </w:numPr>
        <w:spacing w:after="60" w:before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Rune Paulsen — RFN (video contribution only, not in-person)</w:t>
      </w:r>
    </w:p>
    <w:p>
      <w:pPr>
        <w:pStyle w:val="ListParagraph"/>
        <w:numPr>
          <w:ilvl w:val="0"/>
          <w:numId w:val="2"/>
        </w:numPr>
        <w:spacing w:after="60" w:before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WCS, TNC, WWF, CI, PNGEA — role-based invitations (no named individuals yet confirmed)</w:t>
      </w:r>
    </w:p>
    <w:p>
      <w:pPr>
        <w:pStyle w:val="ListParagraph"/>
        <w:numPr>
          <w:ilvl w:val="0"/>
          <w:numId w:val="2"/>
        </w:numPr>
        <w:spacing w:after="60" w:before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CEPA, Oro Provincial Government, UNDP/GEF, GIZ, Mama Graun Trust Fund, TKCP-PNG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Removed from invitees: Kenn Mondiai (interpersonal conflict with MCA community), Lancealot Piritano (retired), Adrian Tejedor (left WCS PNG), GGGI PNG (no active programme confirmed), PNG Bird Society (does not exist).</w:t>
      </w:r>
    </w:p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2E"/>
          <w:sz w:val="28"/>
          <w:szCs w:val="28"/>
        </w:rPr>
        <w:t xml:space="preserve">3.5 Background Paper — Waves of Conservation in PNG</w:t>
      </w:r>
    </w:p>
    <w:p>
      <w:pPr>
        <w:pBdr>
          <w:bottom w:val="single" w:color="1F5C2E" w:sz="12" w:space="1"/>
        </w:pBdr>
        <w:spacing w:after="160" w:before="0"/>
      </w:pPr>
    </w:p>
    <w:p>
      <w:pPr>
        <w:spacing w:after="100" w:before="6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 new document commissioned to accompany the symposium — a scientifically written background paper tracing the history of conservation approaches in PNG, structured as three waves, ending with open questions that lead into the symposium discussion topics.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5C2E" w:sz="6"/>
              <w:left w:val="single" w:color="1F5C2E" w:sz="6"/>
              <w:bottom w:val="single" w:color="1F5C2E" w:sz="6"/>
              <w:right w:val="single" w:color="1F5C2E" w:sz="6"/>
            </w:tcBorders>
            <w:shd w:fill="FFF3C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STATUS: Architecture approved, research completed, drafting not yet commenced.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Target: 4,000–6,000 words. Tone: scientific but accessible to practitioners.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NOT yet a file — needs to be written from scratch in Claude Code.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00"/>
        <w:gridCol w:w="5926"/>
      </w:tblGrid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Wave 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Pre-contact and customary</w:t>
            </w:r>
          </w:p>
        </w:tc>
        <w:tc>
          <w:tcPr>
            <w:tcW w:type="dxa" w:w="5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Conservation-adjacent behaviour was contextually functional, not intentionally conservationist. Low population density, subsistence economy, inter-clan territorial enforcement (including high mortality from warfare) produced ecologically stable conditions that no longer exist. Sekhran (1996) / Bulmer (1982): 'Conservation historically was a product of circumstance rather than intention.' Do NOT romanticise. Do NOT connect pre-contact practices to contemporary conservation as if directly applicable.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Wave 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Colonial and post-independence protected areas (1970s–1990s)</w:t>
            </w:r>
          </w:p>
        </w:tc>
        <w:tc>
          <w:tcPr>
            <w:tcW w:type="dxa" w:w="5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First national parks created 1970s — communities excluded from demarcation process, leading to resentment and degradation. WMAs emerged as community-controlled alternative. PNG Constitution (1975) embedded conservation as national goal but also enshrined customary land ownership (97% customary). By mid-1990s: 56 protected areas covering ~2.8% of land area. Key source: WWF protected areas history; Sekhran (1996).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Wave 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ICDP / ICAD era (1986–2010s)</w:t>
            </w:r>
          </w:p>
        </w:tc>
        <w:tc>
          <w:tcPr>
            <w:tcW w:type="dxa" w:w="5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ICDPs introduced mid-1980s by WWF; spread to PNG via UNDP/GEF Biodiversity Programme. Key PNG projects: Crater Mountain (RCF/WCS), Lak (failed — McCallum &amp; Sekhran 1997), Bismarck-Ramu (UNDP — failed, led to BRG breakaway), Oro Butterfly, Kikori Basin, Kamiali, Hunstein Range. Common failures: material incentives created cargo expectations; ICAD could not compete with logging royalties; cooperative endeavour was superficial; landowners treated ICADs as another developer; dependency and passivity; youth alienation from traditional culture. MCA is NOT an ICAD — arose from Conservation Areas Act, consent-building preceded project design.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Wave 4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Current — community conservation, 30x30</w:t>
            </w:r>
          </w:p>
        </w:tc>
        <w:tc>
          <w:tcPr>
            <w:tcW w:type="dxa" w:w="5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YUS Conservation Area (TKCP, 2009 — first gazetted CA in PNG), MCA (2017), WCS conservation deeds, MENCERTC indigenous-led model. PNG Protected Areas Act 2024 — explicitly targeting 30x30. As of 2024: PNG at ~4% formal protected area coverage. Global: 17.6% land protected. Gap is structural, not incidental. Open questions: Are current approaches genuinely different from ICDP wave? What would 30x30 actually require in a customary land context? Who decides?</w:t>
            </w:r>
          </w:p>
        </w:tc>
      </w:tr>
    </w:tbl>
    <w:p>
      <w:pPr>
        <w:spacing w:after="0" w:before="2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D44"/>
          <w:sz w:val="24"/>
          <w:szCs w:val="24"/>
        </w:rPr>
        <w:t xml:space="preserve">3.5a Reference List for Background Paper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Key sources confirmed and accessibility status: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Sekhran (1996) Pursuing the 'D'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ODI Paper 19b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OPEN ACCESS — https://media.odi.org/documents/1114.pdf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Anderson (2005) Bismarck Ramu Group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ANU repository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OPEN ACCESS — https://openresearch-repository.anu.edu.au/server/api/core/bitstreams/4afc74aa-e89b-4fb6-8f48-2cad627d3880/content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Fisher et al. (2008) Linking Conservation and Poverty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IUCN/Earthscan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OPEN ACCESS — https://portals.iucn.org/library/sites/library/files/documents/2008-032.pdf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PNG Protected Areas Act 2024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PNG Parliament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OPEN ACCESS — https://www.parliament.gov.pg/uploads/acts/24A-09.pdf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IUCN 30x30 Guide (2023)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IUCN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OPEN ACCESS — https://iucn.org/sites/default/files/2023-09/30x30-target-framework.pdf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McCallum &amp; Sekhran (1997) Race for the Rainforest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PNG Biodiversity Programme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GREY LIT — NLA: https://catalogue.nla.gov.au/catalog/2376745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Ellis (1999) Race for the Rainforest 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PNG Biodiversity Programme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GREY LIT — NLA: https://catalogue.nla.gov.au/catalog/3789424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West (2006) Conservation Is Our Government Now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Duke University Press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PAYWALLED — https://read.dukeupress.edu/books/book/1066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Van Helden (1998) Between Cash and Conviction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NRI Monograph 33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GREY LIT — try NRI PNG or NLA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Van Helden (2001) Through the Thicket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Wageningen PhD thesis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GREY LIT — try https://library.wur.nl/WebQuery/wurpubs/fulltext/139422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Van Helden (2009) 'Report written for money'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Berghahn Books chapter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PAYWALLED — https://doi.org/10.1515/9781845459604-011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Baynes, Herbohn, Smith, Fisher &amp; Bray (2015)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Global Env. Change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PAYWALLED — https://doi.org/10.1016/j.gloenvcha.2015.09.011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Novotny (2010) Rain forest conservation tribal world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Biotropica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PAYWALLED — https://doi.org/10.1111/j.1744-7429.2010.00658.x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Foale et al. (2011) Tenure and taboos Melanesia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Fish and Fisheries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FOR WAVE 1 SECTION — Melanesia-specific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Bulmer (1982) Traditional Conservation PNG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IASER edited volume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SOURCE FOR WAVE 1 — cite via Sekhran (1996) if cannot access primary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Filer ed. (1997) Political Economy Forest Management PNG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NRI Monograph 32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ANU partial — https://openresearch-repository.anu.edu.au/handle/1885/144326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2E"/>
          <w:sz w:val="28"/>
          <w:szCs w:val="28"/>
        </w:rPr>
        <w:t xml:space="preserve">3.6 Community Finance and Training Documents</w:t>
      </w:r>
    </w:p>
    <w:p>
      <w:pPr>
        <w:pBdr>
          <w:bottom w:val="single" w:color="1F5C2E" w:sz="12" w:space="1"/>
        </w:pBdr>
        <w:spacing w:after="160" w:before="0"/>
      </w:pPr>
    </w:p>
    <w:p>
      <w:pPr>
        <w:pStyle w:val="ListParagraph"/>
        <w:numPr>
          <w:ilvl w:val="0"/>
          <w:numId w:val="2"/>
        </w:numPr>
        <w:spacing w:after="60" w:before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Plain-language community document on conservation finance: budget K1,999,400/year; tiered per-hectare payment direction under development</w:t>
      </w:r>
    </w:p>
    <w:p>
      <w:pPr>
        <w:pStyle w:val="ListParagraph"/>
        <w:numPr>
          <w:ilvl w:val="0"/>
          <w:numId w:val="2"/>
        </w:numPr>
        <w:spacing w:after="60" w:before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Public servant training course: v3, three documents (slide deck, workbook, teaching guideline)</w:t>
      </w:r>
    </w:p>
    <w:p>
      <w:pPr>
        <w:pStyle w:val="ListParagraph"/>
        <w:numPr>
          <w:ilvl w:val="0"/>
          <w:numId w:val="2"/>
        </w:numPr>
        <w:spacing w:after="60" w:before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Simplified community-member version with _CM suffix also produced</w:t>
      </w:r>
    </w:p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2E"/>
          <w:sz w:val="28"/>
          <w:szCs w:val="28"/>
        </w:rPr>
        <w:t xml:space="preserve">3.7 Oro Province Investment Facility Concept Note</w:t>
      </w:r>
    </w:p>
    <w:p>
      <w:pPr>
        <w:pBdr>
          <w:bottom w:val="single" w:color="1F5C2E" w:sz="12" w:space="1"/>
        </w:pBdr>
        <w:spacing w:after="160" w:before="0"/>
      </w:pPr>
    </w:p>
    <w:p>
      <w:pPr>
        <w:spacing w:after="100" w:before="6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USD 200 million, 20-year Oro Province investment facility concept note. Version 2 produced.</w:t>
      </w:r>
    </w:p>
    <w:p>
      <w:pPr>
        <w:pStyle w:val="ListParagraph"/>
        <w:numPr>
          <w:ilvl w:val="0"/>
          <w:numId w:val="2"/>
        </w:numPr>
        <w:spacing w:after="60" w:before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OUTSTANDING: forest transition diagram</w:t>
      </w:r>
    </w:p>
    <w:p>
      <w:pPr>
        <w:pStyle w:val="ListParagraph"/>
        <w:numPr>
          <w:ilvl w:val="0"/>
          <w:numId w:val="2"/>
        </w:numPr>
        <w:spacing w:after="60" w:before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OUTSTANDING: fuller Section 1.3 MOPP activity listing</w:t>
      </w:r>
    </w:p>
    <w:p>
      <w:pPr>
        <w:pStyle w:val="ListParagraph"/>
        <w:numPr>
          <w:ilvl w:val="0"/>
          <w:numId w:val="2"/>
        </w:numPr>
        <w:spacing w:after="60" w:before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OUTSTANDING: maps and photos</w:t>
      </w:r>
    </w:p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2E"/>
          <w:sz w:val="28"/>
          <w:szCs w:val="28"/>
        </w:rPr>
        <w:t xml:space="preserve">3.8 ICCApp Mobile App</w:t>
      </w:r>
    </w:p>
    <w:p>
      <w:pPr>
        <w:pBdr>
          <w:bottom w:val="single" w:color="1F5C2E" w:sz="12" w:space="1"/>
        </w:pBdr>
        <w:spacing w:after="160" w:before="0"/>
      </w:pPr>
    </w:p>
    <w:p>
      <w:pPr>
        <w:spacing w:after="100" w:before="6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Integrated Community Conservation Application — prototype complete. Claude Code is the recommended environment for:</w:t>
      </w:r>
    </w:p>
    <w:p>
      <w:pPr>
        <w:pStyle w:val="ListParagraph"/>
        <w:numPr>
          <w:ilvl w:val="0"/>
          <w:numId w:val="2"/>
        </w:numPr>
        <w:spacing w:after="60" w:before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Restructuring into separate files</w:t>
      </w:r>
    </w:p>
    <w:p>
      <w:pPr>
        <w:pStyle w:val="ListParagraph"/>
        <w:numPr>
          <w:ilvl w:val="0"/>
          <w:numId w:val="2"/>
        </w:numPr>
        <w:spacing w:after="60" w:before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Visual testing</w:t>
      </w:r>
    </w:p>
    <w:p>
      <w:pPr>
        <w:pStyle w:val="ListParagraph"/>
        <w:numPr>
          <w:ilvl w:val="0"/>
          <w:numId w:val="2"/>
        </w:numPr>
        <w:spacing w:after="60" w:before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PWA conversion</w:t>
      </w:r>
    </w:p>
    <w:p>
      <w:pPr>
        <w:pStyle w:val="ListParagraph"/>
        <w:numPr>
          <w:ilvl w:val="0"/>
          <w:numId w:val="2"/>
        </w:numPr>
        <w:spacing w:after="60" w:before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Completing outstanding requirements</w:t>
      </w:r>
    </w:p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2E"/>
          <w:sz w:val="28"/>
          <w:szCs w:val="28"/>
        </w:rPr>
        <w:t xml:space="preserve">3.9 Massoia / Eaglewood Trajectory Paper</w:t>
      </w:r>
    </w:p>
    <w:p>
      <w:pPr>
        <w:pBdr>
          <w:bottom w:val="single" w:color="1F5C2E" w:sz="12" w:space="1"/>
        </w:pBdr>
        <w:spacing w:after="160" w:before="0"/>
      </w:pPr>
    </w:p>
    <w:p>
      <w:pPr>
        <w:spacing w:after="100" w:before="6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Target journal: Ethnobotany and Economic Botany (formerly Economic Botany). American English (override general British English rule). Official programme/institution proper names keep their official spelling.</w:t>
      </w:r>
    </w:p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2E"/>
          <w:sz w:val="28"/>
          <w:szCs w:val="28"/>
        </w:rPr>
        <w:t xml:space="preserve">3.10 Okari Annotated Bibliography</w:t>
      </w:r>
    </w:p>
    <w:p>
      <w:pPr>
        <w:pBdr>
          <w:bottom w:val="single" w:color="1F5C2E" w:sz="12" w:space="1"/>
        </w:pBdr>
        <w:spacing w:after="160" w:before="0"/>
      </w:pPr>
    </w:p>
    <w:p>
      <w:pPr>
        <w:spacing w:after="100" w:before="6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v6 final. Shahla Hosseini-Bai (Griffith University) is the connected researcher.</w:t>
      </w:r>
    </w:p>
    <w:p>
      <w:pPr>
        <w:spacing w:after="0" w:before="400"/>
      </w:pPr>
    </w:p>
    <w:p>
      <w:pPr>
        <w:shd w:fill="1F5C2E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4 — DATA SOURCES AND TOOLS</w:t>
      </w:r>
    </w:p>
    <w:p>
      <w:pPr>
        <w:shd w:fill="1F5C2E" w:val="clear"/>
      </w:pPr>
      <w:r>
        <w:rPr>
          <w:rFonts w:ascii="Arial" w:cs="Arial" w:eastAsia="Arial" w:hAnsi="Arial"/>
          <w:color w:val="FFFFFF"/>
          <w:sz w:val="8"/>
          <w:szCs w:val="8"/>
        </w:rPr>
        <w:t xml:space="preserve"> </w:t>
      </w:r>
    </w:p>
    <w:p>
      <w:pPr>
        <w:spacing w:after="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2E"/>
          <w:sz w:val="28"/>
          <w:szCs w:val="28"/>
        </w:rPr>
        <w:t xml:space="preserve">4.1 Survey Data</w:t>
      </w:r>
    </w:p>
    <w:p>
      <w:pPr>
        <w:pBdr>
          <w:bottom w:val="single" w:color="1F5C2E" w:sz="12" w:space="1"/>
        </w:pBdr>
        <w:spacing w:after="160" w:before="0"/>
      </w:pPr>
    </w:p>
    <w:p>
      <w:pPr>
        <w:pStyle w:val="ListParagraph"/>
        <w:numPr>
          <w:ilvl w:val="0"/>
          <w:numId w:val="2"/>
        </w:numPr>
        <w:spacing w:after="60" w:before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CIFOR-ICRAF Household Survey (HHS = Unsworth et al. 2024): 1,163 households across 11 zones</w:t>
      </w:r>
    </w:p>
    <w:p>
      <w:pPr>
        <w:pStyle w:val="ListParagraph"/>
        <w:numPr>
          <w:ilvl w:val="0"/>
          <w:numId w:val="2"/>
        </w:numPr>
        <w:spacing w:after="60" w:before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Raw CSVs at /mnt/project/ — survey_location.csv is the hhid-to-zone mapping backbone</w:t>
      </w:r>
    </w:p>
    <w:p>
      <w:pPr>
        <w:pStyle w:val="ListParagraph"/>
        <w:numPr>
          <w:ilvl w:val="0"/>
          <w:numId w:val="2"/>
        </w:numPr>
        <w:spacing w:after="60" w:before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Correlations_of_Combined_Data_at_zone_level.xlsx: read with header=None, rows 2–12 for zone data</w:t>
      </w:r>
    </w:p>
    <w:p>
      <w:pPr>
        <w:spacing w:after="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2E"/>
          <w:sz w:val="28"/>
          <w:szCs w:val="28"/>
        </w:rPr>
        <w:t xml:space="preserve">4.2 GIS and Spatial Data</w:t>
      </w:r>
    </w:p>
    <w:p>
      <w:pPr>
        <w:pBdr>
          <w:bottom w:val="single" w:color="1F5C2E" w:sz="12" w:space="1"/>
        </w:pBdr>
        <w:spacing w:after="160" w:before="0"/>
      </w:pPr>
    </w:p>
    <w:p>
      <w:pPr>
        <w:pStyle w:val="ListParagraph"/>
        <w:numPr>
          <w:ilvl w:val="0"/>
          <w:numId w:val="2"/>
        </w:numPr>
        <w:spacing w:after="60" w:before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WDPA_PID for MCA: 555651673</w:t>
      </w:r>
    </w:p>
    <w:p>
      <w:pPr>
        <w:pStyle w:val="ListParagraph"/>
        <w:numPr>
          <w:ilvl w:val="0"/>
          <w:numId w:val="2"/>
        </w:numPr>
        <w:spacing w:after="60" w:before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Exact bounding box: 148.038–148.587°E, 8.862–9.476°S</w:t>
      </w:r>
    </w:p>
    <w:p>
      <w:pPr>
        <w:pStyle w:val="ListParagraph"/>
        <w:numPr>
          <w:ilvl w:val="0"/>
          <w:numId w:val="2"/>
        </w:numPr>
        <w:spacing w:after="60" w:before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Data sources: HydroSHEDS, Hansen GFC, WDPA, FIRMS, GBIF, ESA CCI Biomass, WorldClim, GAEZ v5</w:t>
      </w:r>
    </w:p>
    <w:p>
      <w:pPr>
        <w:pStyle w:val="ListParagraph"/>
        <w:numPr>
          <w:ilvl w:val="0"/>
          <w:numId w:val="2"/>
        </w:numPr>
        <w:spacing w:after="60" w:before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QGIS with Python scripts for mapping</w:t>
      </w:r>
    </w:p>
    <w:p>
      <w:pPr>
        <w:spacing w:after="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2E"/>
          <w:sz w:val="28"/>
          <w:szCs w:val="28"/>
        </w:rPr>
        <w:t xml:space="preserve">4.3 Document Generation</w:t>
      </w:r>
    </w:p>
    <w:p>
      <w:pPr>
        <w:pBdr>
          <w:bottom w:val="single" w:color="1F5C2E" w:sz="12" w:space="1"/>
        </w:pBdr>
        <w:spacing w:after="160" w:before="0"/>
      </w:pPr>
    </w:p>
    <w:p>
      <w:pPr>
        <w:pStyle w:val="ListParagraph"/>
        <w:numPr>
          <w:ilvl w:val="0"/>
          <w:numId w:val="2"/>
        </w:numPr>
        <w:spacing w:after="60" w:before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Node.js with docx library (Word documents) — scripts stored at /home/claude/</w:t>
      </w:r>
    </w:p>
    <w:p>
      <w:pPr>
        <w:pStyle w:val="ListParagraph"/>
        <w:numPr>
          <w:ilvl w:val="0"/>
          <w:numId w:val="2"/>
        </w:numPr>
        <w:spacing w:after="60" w:before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pptxgenjs for PowerPoint</w:t>
      </w:r>
    </w:p>
    <w:p>
      <w:pPr>
        <w:pStyle w:val="ListParagraph"/>
        <w:numPr>
          <w:ilvl w:val="0"/>
          <w:numId w:val="2"/>
        </w:numPr>
        <w:spacing w:after="60" w:before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Outputs written to /mnt/user-data/outputs/</w:t>
      </w:r>
    </w:p>
    <w:p>
      <w:pPr>
        <w:pStyle w:val="ListParagraph"/>
        <w:numPr>
          <w:ilvl w:val="0"/>
          <w:numId w:val="2"/>
        </w:numPr>
        <w:spacing w:after="60" w:before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Validation: python /mnt/skills/public/docx/scripts/office/validate.py (mandatory — ZIP checks alone pass falsely)</w:t>
      </w:r>
    </w:p>
    <w:p>
      <w:pPr>
        <w:pStyle w:val="ListParagraph"/>
        <w:numPr>
          <w:ilvl w:val="0"/>
          <w:numId w:val="2"/>
        </w:numPr>
        <w:spacing w:after="60" w:before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PDF conversion: python /mnt/skills/public/docx/scripts/office/soffice.py --headless --convert-to pdf</w:t>
      </w:r>
    </w:p>
    <w:p>
      <w:pPr>
        <w:pStyle w:val="ListParagraph"/>
        <w:numPr>
          <w:ilvl w:val="0"/>
          <w:numId w:val="2"/>
        </w:numPr>
        <w:spacing w:after="60" w:before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Content extraction: pandoc [file] -t markdown</w:t>
      </w:r>
    </w:p>
    <w:p>
      <w:pPr>
        <w:spacing w:after="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2E"/>
          <w:sz w:val="28"/>
          <w:szCs w:val="28"/>
        </w:rPr>
        <w:t xml:space="preserve">4.4 Key Project Files</w:t>
      </w:r>
    </w:p>
    <w:p>
      <w:pPr>
        <w:pBdr>
          <w:bottom w:val="single" w:color="1F5C2E" w:sz="12" w:space="1"/>
        </w:pBd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MCA_MLA_v4_c.docx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Multicriteria Landscape Analysis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Oro_MLA_v4_c.docx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Oro Province MLA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MCA_CAMP_Draft_19.docx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Current CAMP draft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Standardised_Land_Use_Rules_Matrix_v2.docx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11-zone land use rules — needs merging into CAMP Section 5.3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MCA_Clan_Elder_Workshops_Compiled_v2.docx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Source for journal article 3.2b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MCA_Synergy_Matrix_editable_v9.xlsx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Value chain synergy matrix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Correlations_of_Combined_Data_at_zone_level.xlsx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Zone-level correlation data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Orsak_1992_Saving_QABB_Vol1–4.pdf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Historical QABB documentation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Mercer_1999_OCP.pdf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Historical OCP report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STRONGIM_LEK reports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LEK evaluation reports</w:t>
            </w:r>
          </w:p>
        </w:tc>
      </w:tr>
    </w:tbl>
    <w:p>
      <w:pPr>
        <w:spacing w:after="0" w:before="400"/>
      </w:pPr>
    </w:p>
    <w:p>
      <w:pPr>
        <w:shd w:fill="1F5C2E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5 — OUTSTANDING TASKS IN PRIORITY ORDER</w:t>
      </w:r>
    </w:p>
    <w:p>
      <w:pPr>
        <w:shd w:fill="1F5C2E" w:val="clear"/>
      </w:pPr>
      <w:r>
        <w:rPr>
          <w:rFonts w:ascii="Arial" w:cs="Arial" w:eastAsia="Arial" w:hAnsi="Arial"/>
          <w:color w:val="FFFFFF"/>
          <w:sz w:val="8"/>
          <w:szCs w:val="8"/>
        </w:rPr>
        <w:t xml:space="preserve"> </w:t>
      </w:r>
    </w:p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5826"/>
      </w:tblGrid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PRIORITY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TASK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1 — IMMEDIATE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Background paper: 'Waves of Conservation in PNG'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Draft from scratch. ~5,000 words. Architecture fully approved — see Section 3.5. Open access references available. Target: companion document for symposium participant pack.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2 — IMMEDIATE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Symposium participant reading pack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Compile PDFs of open-access references (listed in Section 3.5a) into a shareable folder/document. Draft a cover note for participants.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3 — HIGH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CAMP Draft 19 — merge land use rules into Section 5.3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Source: Standardised_Land_Use_Rules_Matrix_v2.docx. Read both files carefully before implementing. Await explicit go-ahead from Will.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4 — HIGH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Governance/consensus-building section — MCA governance paper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Section of the history/governance journal article. This is the missing piece before the paper is complete. Await go-ahead.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5 — HIGH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Clan Elder paper — three statements before submission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Research Ethics Approval statement, Data Availability statement, Author Contributions statement. Await go-ahead.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6 — MEDIUM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Symposium v3 (if needed)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Any further changes to Symposium_ConceptNote_Popondetta_v2.docx to be implemented as v3.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7 — MEDIUM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Investment facility concept note — three outstanding items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Forest transition diagram, fuller Section 1.3 MOPP activities, maps/photos.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8 — MEDIUM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ICCApp mobile app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Claude Code environment — restructure files, visual testing, PWA conversion, complete outstanding requirements.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9 — LOWER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QABB symposium planning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Separate from practitioner symposium. Produces jointly authored peer-reviewed article on QABB research agenda.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5C2E"/>
                <w:sz w:val="19"/>
                <w:szCs w:val="19"/>
              </w:rPr>
              <w:t xml:space="preserve">10 — LOWER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Biomass recovery rate data</w:t>
            </w:r>
          </w:p>
        </w:tc>
        <w:tc>
          <w:tcPr>
            <w:tcW w:type="dxa" w:w="5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Field data collection pending → future paper on ring-barking/standing deadwood finding.</w:t>
            </w:r>
          </w:p>
        </w:tc>
      </w:tr>
    </w:tbl>
    <w:p>
      <w:pPr>
        <w:spacing w:after="0" w:before="400"/>
      </w:pPr>
    </w:p>
    <w:p>
      <w:pPr>
        <w:shd w:fill="1F5C2E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6 — KEY LEARNINGS AND WORKING STYLE</w:t>
      </w:r>
    </w:p>
    <w:p>
      <w:pPr>
        <w:shd w:fill="1F5C2E" w:val="clear"/>
      </w:pPr>
      <w:r>
        <w:rPr>
          <w:rFonts w:ascii="Arial" w:cs="Arial" w:eastAsia="Arial" w:hAnsi="Arial"/>
          <w:color w:val="FFFFFF"/>
          <w:sz w:val="8"/>
          <w:szCs w:val="8"/>
        </w:rPr>
        <w:t xml:space="preserve"> </w:t>
      </w:r>
    </w:p>
    <w:p>
      <w:pPr>
        <w:spacing w:after="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2E"/>
          <w:sz w:val="28"/>
          <w:szCs w:val="28"/>
        </w:rPr>
        <w:t xml:space="preserve">6.1 Critical Operating Principles</w:t>
      </w:r>
    </w:p>
    <w:p>
      <w:pPr>
        <w:pBdr>
          <w:bottom w:val="single" w:color="1F5C2E" w:sz="12" w:space="1"/>
        </w:pBdr>
        <w:spacing w:after="160" w:before="0"/>
      </w:pPr>
    </w:p>
    <w:p>
      <w:pPr>
        <w:pStyle w:val="ListParagraph"/>
        <w:numPr>
          <w:ilvl w:val="0"/>
          <w:numId w:val="2"/>
        </w:numPr>
        <w:spacing w:after="60" w:before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 fabrication, ever. Will consistently catches invented claims, unsupported citations, and unverified figures. Flag all uncertain claims explicitly. Do not assert data from memory without re-reading the source file.</w:t>
      </w:r>
    </w:p>
    <w:p>
      <w:pPr>
        <w:pStyle w:val="ListParagraph"/>
        <w:numPr>
          <w:ilvl w:val="0"/>
          <w:numId w:val="2"/>
        </w:numPr>
        <w:spacing w:after="60" w:before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 edits without explicit go-ahead. Will batches changes and gives a clear instruction before implementation. 'Let's Go' or equivalent is the trigger. Do not implement changes piecemeal.</w:t>
      </w:r>
    </w:p>
    <w:p>
      <w:pPr>
        <w:pStyle w:val="ListParagraph"/>
        <w:numPr>
          <w:ilvl w:val="0"/>
          <w:numId w:val="2"/>
        </w:numPr>
        <w:spacing w:after="60" w:before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End-to-end verification required. Overflowing tables, section numbering drift, embedded instruction text, and cross-reference errors must be caught proactively.</w:t>
      </w:r>
    </w:p>
    <w:p>
      <w:pPr>
        <w:pStyle w:val="ListParagraph"/>
        <w:numPr>
          <w:ilvl w:val="0"/>
          <w:numId w:val="2"/>
        </w:numPr>
        <w:spacing w:after="60" w:before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Source discipline. Primary and peer-reviewed sources only. No citation-dropping without substance. Historical PNG figures (1970s–80s) cannot be cited if untraceable to primary sources.</w:t>
      </w:r>
    </w:p>
    <w:p>
      <w:pPr>
        <w:pStyle w:val="ListParagraph"/>
        <w:numPr>
          <w:ilvl w:val="0"/>
          <w:numId w:val="2"/>
        </w:numPr>
        <w:spacing w:after="60" w:before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Present outputs as actionable. No conditional gates, phasing language, or implementation sequencing that makes the programme appear staged or dependent.</w:t>
      </w:r>
    </w:p>
    <w:p>
      <w:pPr>
        <w:pStyle w:val="ListParagraph"/>
        <w:numPr>
          <w:ilvl w:val="0"/>
          <w:numId w:val="2"/>
        </w:numPr>
        <w:spacing w:after="60" w:before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Standardisation applies document-wide, not just to the section being edited.</w:t>
      </w:r>
    </w:p>
    <w:p>
      <w:pPr>
        <w:spacing w:after="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2E"/>
          <w:sz w:val="28"/>
          <w:szCs w:val="28"/>
        </w:rPr>
        <w:t xml:space="preserve">6.2 Working Style</w:t>
      </w:r>
    </w:p>
    <w:p>
      <w:pPr>
        <w:pBdr>
          <w:bottom w:val="single" w:color="1F5C2E" w:sz="12" w:space="1"/>
        </w:pBdr>
        <w:spacing w:after="160" w:before="0"/>
      </w:pPr>
    </w:p>
    <w:p>
      <w:pPr>
        <w:pStyle w:val="ListParagraph"/>
        <w:numPr>
          <w:ilvl w:val="0"/>
          <w:numId w:val="2"/>
        </w:numPr>
        <w:spacing w:after="60" w:before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Will accumulates a batch of changes before instructing implementation. Do not implement changes piecemeal without instruction.</w:t>
      </w:r>
    </w:p>
    <w:p>
      <w:pPr>
        <w:pStyle w:val="ListParagraph"/>
        <w:numPr>
          <w:ilvl w:val="0"/>
          <w:numId w:val="2"/>
        </w:numPr>
        <w:spacing w:after="60" w:before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Direct prose preferred over bullet-heavy formatting. Document logic should stand on its own without donor jargon or excessive academic citation-dropping.</w:t>
      </w:r>
    </w:p>
    <w:p>
      <w:pPr>
        <w:pStyle w:val="ListParagraph"/>
        <w:numPr>
          <w:ilvl w:val="0"/>
          <w:numId w:val="2"/>
        </w:numPr>
        <w:spacing w:after="60" w:before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Working style is direct and output-focused. Will pushes back explicitly when output is insufficiently grounded.</w:t>
      </w:r>
    </w:p>
    <w:p>
      <w:pPr>
        <w:pStyle w:val="ListParagraph"/>
        <w:numPr>
          <w:ilvl w:val="0"/>
          <w:numId w:val="2"/>
        </w:numPr>
        <w:spacing w:after="60" w:before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Documents are genuinely deliverable external outputs — internal consistency, timing arithmetic, cross-references, and version numbers all matter.</w:t>
      </w:r>
    </w:p>
    <w:p>
      <w:pPr>
        <w:pStyle w:val="ListParagraph"/>
        <w:numPr>
          <w:ilvl w:val="0"/>
          <w:numId w:val="2"/>
        </w:numPr>
        <w:spacing w:after="60" w:before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Progressive, additive requests are common — earlier sections not revisited unless flagged.</w:t>
      </w:r>
    </w:p>
    <w:p>
      <w:pPr>
        <w:pStyle w:val="ListParagraph"/>
        <w:numPr>
          <w:ilvl w:val="0"/>
          <w:numId w:val="2"/>
        </w:numPr>
        <w:spacing w:after="60" w:before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Version-numbered filenames are mandatory on every output file.</w:t>
      </w:r>
    </w:p>
    <w:p>
      <w:pPr>
        <w:spacing w:after="0" w:before="400"/>
      </w:pPr>
    </w:p>
    <w:p>
      <w:pPr>
        <w:shd w:fill="1F5C2E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7 — LOGOS AND BRANDING</w:t>
      </w:r>
    </w:p>
    <w:p>
      <w:pPr>
        <w:shd w:fill="1F5C2E" w:val="clear"/>
      </w:pPr>
      <w:r>
        <w:rPr>
          <w:rFonts w:ascii="Arial" w:cs="Arial" w:eastAsia="Arial" w:hAnsi="Arial"/>
          <w:color w:val="FFFFFF"/>
          <w:sz w:val="8"/>
          <w:szCs w:val="8"/>
        </w:rPr>
        <w:t xml:space="preserve"> </w:t>
      </w:r>
    </w:p>
    <w:p>
      <w:pPr>
        <w:spacing w:after="0" w:before="160"/>
      </w:pPr>
    </w:p>
    <w:p>
      <w:pPr>
        <w:spacing w:after="100" w:before="6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Logo files are in the Project Knowledge directory at /mnt/project/:</w:t>
      </w:r>
    </w:p>
    <w:p>
      <w:pPr>
        <w:pStyle w:val="ListParagraph"/>
        <w:numPr>
          <w:ilvl w:val="0"/>
          <w:numId w:val="2"/>
        </w:numPr>
        <w:spacing w:after="60" w:before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CIFORICRAFlogo.png — standard CIFOR-ICRAF logo</w:t>
      </w:r>
    </w:p>
    <w:p>
      <w:pPr>
        <w:pStyle w:val="ListParagraph"/>
        <w:numPr>
          <w:ilvl w:val="0"/>
          <w:numId w:val="2"/>
        </w:numPr>
        <w:spacing w:after="60" w:before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CIFORICRAFwhitelogo.png — white version for dark backgrounds</w:t>
      </w:r>
    </w:p>
    <w:p>
      <w:pPr>
        <w:pStyle w:val="ListParagraph"/>
        <w:numPr>
          <w:ilvl w:val="0"/>
          <w:numId w:val="2"/>
        </w:numPr>
        <w:spacing w:after="60" w:before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Enhanced_EUFCCB.png — EU-FCCB programme logo</w:t>
      </w:r>
    </w:p>
    <w:p>
      <w:pPr>
        <w:pStyle w:val="ListParagraph"/>
        <w:numPr>
          <w:ilvl w:val="0"/>
          <w:numId w:val="2"/>
        </w:numPr>
        <w:spacing w:after="60" w:before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Enhanced_Oro_Province.png — Oro Province Government logo</w:t>
      </w:r>
    </w:p>
    <w:p>
      <w:pPr>
        <w:pStyle w:val="ListParagraph"/>
        <w:numPr>
          <w:ilvl w:val="0"/>
          <w:numId w:val="2"/>
        </w:numPr>
        <w:spacing w:after="60" w:before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Enhanced_PNG_Gov.png — PNG Government logo</w:t>
      </w:r>
    </w:p>
    <w:p>
      <w:pPr>
        <w:pStyle w:val="ListParagraph"/>
        <w:numPr>
          <w:ilvl w:val="0"/>
          <w:numId w:val="2"/>
        </w:numPr>
        <w:spacing w:after="60" w:before="40"/>
        <w:ind w:left="7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Enhanced_MCF.png — Managalas Conservation Foundation logo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Note: No standalone logo files have been uploaded for all partners. A logo strip extracted from a V4 deck has been used as a workaround for multi-partner header strips. The CIFOR-ICRAF logo should appear on all external documents alongside EU attribution.</w:t>
      </w:r>
    </w:p>
    <w:p>
      <w:pPr>
        <w:spacing w:after="0" w:before="400"/>
      </w:pPr>
    </w:p>
    <w:p>
      <w:pPr>
        <w:pBdr>
          <w:bottom w:val="single" w:color="C9942A" w:sz="12" w:space="1"/>
        </w:pBdr>
        <w:spacing w:after="200" w:before="0"/>
      </w:pP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Document prepared for context transfer | CIFOR-ICRAF PNG | EU-FCCB Nexus Programme | July 2026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C2E" w:sz="6" w:space="1"/>
      </w:pBdr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Confidential — Internal use only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2E" w:sz="6" w:space="1"/>
      </w:pBdr>
      <w:spacing w:after="0"/>
    </w:pPr>
    <w:r>
      <w:rPr>
        <w:rFonts w:ascii="Arial" w:cs="Arial" w:eastAsia="Arial" w:hAnsi="Arial"/>
        <w:color w:val="888888"/>
        <w:sz w:val="16"/>
        <w:szCs w:val="16"/>
      </w:rPr>
      <w:t xml:space="preserve">MOPP / CIFOR-ICRAF PNG — Claude Code Handover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5C2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D4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C994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2026-07-28T22:50:04.232Z</dcterms:created>
  <dcterms:modified xsi:type="dcterms:W3CDTF">2026-07-28T22:50:04.245Z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