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0"/>
          <w:szCs w:val="40"/>
        </w:rPr>
        <w:t xml:space="preserve">Oro Data Portal</w:t>
      </w:r>
    </w:p>
    <w:p>
      <w:pPr>
        <w:spacing w:after="40"/>
      </w:pPr>
      <w:r>
        <w:rPr>
          <w:color w:val="5A5A5A"/>
          <w:sz w:val="26"/>
          <w:szCs w:val="26"/>
        </w:rPr>
        <w:t xml:space="preserve">Hosting Requirements — Summary for CIFOR-ICRAF IT</w:t>
      </w:r>
    </w:p>
    <w:p>
      <w:pPr>
        <w:spacing w:after="40"/>
      </w:pPr>
      <w:r>
        <w:rPr>
          <w:i/>
          <w:iCs/>
          <w:color w:val="2E6B3E"/>
          <w:sz w:val="20"/>
          <w:szCs w:val="20"/>
        </w:rPr>
        <w:t xml:space="preserve">Fully in-house model — all hosting by CIFOR-ICRAF</w:t>
      </w:r>
    </w:p>
    <w:p>
      <w:pPr>
        <w:pBdr>
          <w:bottom w:val="single" w:color="2E6B3E" w:sz="12" w:space="6"/>
        </w:pBdr>
        <w:spacing w:after="160"/>
      </w:pPr>
      <w:r/>
    </w:p>
    <w:p>
      <w:pPr>
        <w:pBdr>
          <w:top w:val="single" w:color="CBD5E1" w:sz="4" w:space="4"/>
          <w:bottom w:val="single" w:color="CBD5E1" w:sz="4" w:space="4"/>
          <w:left w:val="single" w:color="CBD5E1" w:sz="4" w:space="4"/>
          <w:right w:val="single" w:color="CBD5E1" w:sz="4" w:space="4"/>
        </w:pBdr>
        <w:shd w:fill="EEF2F6" w:color="auto" w:val="clear"/>
        <w:spacing w:after="200"/>
      </w:pPr>
      <w:r>
        <w:rPr>
          <w:b/>
          <w:bCs/>
        </w:rPr>
        <w:t xml:space="preserve">Project activity reference:  </w:t>
      </w:r>
      <w:r>
        <w:rPr>
          <w:b/>
          <w:bCs/>
          <w:color w:val="1F3A5F"/>
        </w:rPr>
        <w:t xml:space="preserve">SO1  ·  1.1  ·  1.1-4 — Develop data sharing portals</w:t>
      </w:r>
    </w:p>
    <w:p>
      <w:pPr>
        <w:pStyle w:val="Heading1"/>
        <w:spacing w:before="240" w:after="120"/>
      </w:pPr>
      <w:r>
        <w:t xml:space="preserve">The one-sentence version</w:t>
      </w:r>
    </w:p>
    <w:p>
      <w:pPr>
        <w:pBdr>
          <w:left w:val="single" w:color="2E6B3E" w:sz="18" w:space="12"/>
        </w:pBdr>
        <w:spacing w:after="200"/>
        <w:ind w:left="240"/>
      </w:pPr>
      <w:r>
        <w:rPr>
          <w:i/>
          <w:iCs/>
        </w:rPr>
        <w:t xml:space="preserve">The whole portal — public website, private database, scheduled reporting and the document archive — runs on </w:t>
      </w:r>
      <w:r>
        <w:rPr>
          <w:b/>
          <w:bCs/>
          <w:i/>
          <w:iCs/>
        </w:rPr>
        <w:t xml:space="preserve">CIFOR-ICRAF infrastructure</w:t>
      </w:r>
      <w:r>
        <w:rPr>
          <w:i/>
          <w:iCs/>
        </w:rPr>
        <w:t xml:space="preserve">. The entire ask is one modest Linux server (or VM) with a database, plus a public web address and outbound internet access so it can read free satellite data. There are </w:t>
      </w:r>
      <w:r>
        <w:rPr>
          <w:b/>
          <w:bCs/>
          <w:i/>
          <w:iCs/>
        </w:rPr>
        <w:t xml:space="preserve">no external hosting requirements and no recurring cloud costs.</w:t>
      </w:r>
    </w:p>
    <w:p>
      <w:pPr>
        <w:pStyle w:val="Heading1"/>
        <w:spacing w:before="240" w:after="120"/>
      </w:pPr>
      <w:r>
        <w:t xml:space="preserve">What runs where — all in-house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050"/>
        <w:gridCol w:w="2360"/>
        <w:gridCol w:w="3950"/>
      </w:tblGrid>
      <w:tr>
        <w:trPr>
          <w:tblHeader/>
        </w:trPr>
        <w:tc>
          <w:tcPr>
            <w:tcW w:type="dxa" w:w="3050"/>
            <w:shd w:fill="1F3A5F" w:color="auto" w:val="clear"/>
            <w:tcMar>
              <w:top w:type="dxa" w:w="60"/>
              <w:left w:type="dxa" w:w="90"/>
              <w:bottom w:type="dxa" w:w="60"/>
              <w:right w:type="dxa" w:w="90"/>
            </w:tcMar>
          </w:tcPr>
          <w:p>
            <w:pPr>
              <w:spacing w:after="120"/>
            </w:pPr>
            <w:r>
              <w:rPr>
                <w:b/>
                <w:bCs/>
                <w:color w:val="FFFFFF"/>
                <w:sz w:val="19"/>
                <w:szCs w:val="19"/>
              </w:rPr>
              <w:t xml:space="preserve">Component</w:t>
            </w:r>
          </w:p>
        </w:tc>
        <w:tc>
          <w:tcPr>
            <w:tcW w:type="dxa" w:w="2360"/>
            <w:shd w:fill="1F3A5F" w:color="auto" w:val="clear"/>
            <w:tcMar>
              <w:top w:type="dxa" w:w="60"/>
              <w:left w:type="dxa" w:w="90"/>
              <w:bottom w:type="dxa" w:w="60"/>
              <w:right w:type="dxa" w:w="90"/>
            </w:tcMar>
          </w:tcPr>
          <w:p>
            <w:pPr>
              <w:spacing w:after="120"/>
            </w:pPr>
            <w:r>
              <w:rPr>
                <w:b/>
                <w:bCs/>
                <w:color w:val="FFFFFF"/>
                <w:sz w:val="19"/>
                <w:szCs w:val="19"/>
              </w:rPr>
              <w:t xml:space="preserve">Runs on</w:t>
            </w:r>
          </w:p>
        </w:tc>
        <w:tc>
          <w:tcPr>
            <w:tcW w:type="dxa" w:w="3950"/>
            <w:shd w:fill="1F3A5F" w:color="auto" w:val="clear"/>
            <w:tcMar>
              <w:top w:type="dxa" w:w="60"/>
              <w:left w:type="dxa" w:w="90"/>
              <w:bottom w:type="dxa" w:w="60"/>
              <w:right w:type="dxa" w:w="90"/>
            </w:tcMar>
          </w:tcPr>
          <w:p>
            <w:pPr>
              <w:spacing w:after="120"/>
            </w:pPr>
            <w:r>
              <w:rPr>
                <w:b/>
                <w:bCs/>
                <w:color w:val="FFFFFF"/>
                <w:sz w:val="19"/>
                <w:szCs w:val="19"/>
              </w:rPr>
              <w:t xml:space="preserve">Notes</w:t>
            </w:r>
          </w:p>
        </w:tc>
      </w:tr>
      <w:tr>
        <w:tc>
          <w:tcPr>
            <w:tcW w:type="dxa" w:w="3050"/>
            <w:tcMar>
              <w:top w:type="dxa" w:w="60"/>
              <w:left w:type="dxa" w:w="90"/>
              <w:bottom w:type="dxa" w:w="60"/>
              <w:right w:type="dxa" w:w="90"/>
            </w:tcMar>
          </w:tcPr>
          <w:p>
            <w:pPr>
              <w:spacing w:after="0"/>
            </w:pPr>
            <w:r>
              <w:rPr>
                <w:sz w:val="19"/>
                <w:szCs w:val="19"/>
              </w:rPr>
              <w:t xml:space="preserve">Public web map + portal pages</w:t>
            </w:r>
          </w:p>
        </w:tc>
        <w:tc>
          <w:tcPr>
            <w:tcW w:type="dxa" w:w="2360"/>
            <w:tcMar>
              <w:top w:type="dxa" w:w="60"/>
              <w:left w:type="dxa" w:w="90"/>
              <w:bottom w:type="dxa" w:w="60"/>
              <w:right w:type="dxa" w:w="90"/>
            </w:tcMar>
          </w:tcPr>
          <w:p>
            <w:pPr>
              <w:spacing w:after="0"/>
            </w:pPr>
            <w:r>
              <w:rPr>
                <w:b/>
                <w:bCs/>
                <w:sz w:val="19"/>
                <w:szCs w:val="19"/>
              </w:rPr>
              <w:t xml:space="preserve">CIFOR-ICRAF web server</w:t>
            </w:r>
          </w:p>
        </w:tc>
        <w:tc>
          <w:tcPr>
            <w:tcW w:type="dxa" w:w="3950"/>
            <w:tcMar>
              <w:top w:type="dxa" w:w="60"/>
              <w:left w:type="dxa" w:w="90"/>
              <w:bottom w:type="dxa" w:w="60"/>
              <w:right w:type="dxa" w:w="90"/>
            </w:tcMar>
          </w:tcPr>
          <w:p>
            <w:pPr>
              <w:spacing w:after="0"/>
            </w:pPr>
            <w:r>
              <w:rPr>
                <w:sz w:val="19"/>
                <w:szCs w:val="19"/>
              </w:rPr>
              <w:t xml:space="preserve">Static files served behind nginx / Apache</w:t>
            </w:r>
          </w:p>
        </w:tc>
      </w:tr>
      <w:tr>
        <w:tc>
          <w:tcPr>
            <w:tcW w:type="dxa" w:w="3050"/>
            <w:shd w:fill="EEF2F6" w:color="auto" w:val="clear"/>
            <w:tcMar>
              <w:top w:type="dxa" w:w="60"/>
              <w:left w:type="dxa" w:w="90"/>
              <w:bottom w:type="dxa" w:w="60"/>
              <w:right w:type="dxa" w:w="90"/>
            </w:tcMar>
          </w:tcPr>
          <w:p>
            <w:pPr>
              <w:spacing w:after="0"/>
            </w:pPr>
            <w:r>
              <w:rPr>
                <w:sz w:val="19"/>
                <w:szCs w:val="19"/>
              </w:rPr>
              <w:t xml:space="preserve">Private data + logins</w:t>
            </w:r>
          </w:p>
        </w:tc>
        <w:tc>
          <w:tcPr>
            <w:tcW w:type="dxa" w:w="2360"/>
            <w:shd w:fill="EEF2F6" w:color="auto" w:val="clear"/>
            <w:tcMar>
              <w:top w:type="dxa" w:w="60"/>
              <w:left w:type="dxa" w:w="90"/>
              <w:bottom w:type="dxa" w:w="60"/>
              <w:right w:type="dxa" w:w="90"/>
            </w:tcMar>
          </w:tcPr>
          <w:p>
            <w:pPr>
              <w:spacing w:after="0"/>
            </w:pPr>
            <w:r>
              <w:rPr>
                <w:b/>
                <w:bCs/>
                <w:sz w:val="19"/>
                <w:szCs w:val="19"/>
              </w:rPr>
              <w:t xml:space="preserve">CIFOR-ICRAF database</w:t>
            </w:r>
          </w:p>
        </w:tc>
        <w:tc>
          <w:tcPr>
            <w:tcW w:type="dxa" w:w="3950"/>
            <w:shd w:fill="EEF2F6" w:color="auto" w:val="clear"/>
            <w:tcMar>
              <w:top w:type="dxa" w:w="60"/>
              <w:left w:type="dxa" w:w="90"/>
              <w:bottom w:type="dxa" w:w="60"/>
              <w:right w:type="dxa" w:w="90"/>
            </w:tcMar>
          </w:tcPr>
          <w:p>
            <w:pPr>
              <w:spacing w:after="0"/>
            </w:pPr>
            <w:r>
              <w:rPr>
                <w:sz w:val="19"/>
                <w:szCs w:val="19"/>
              </w:rPr>
              <w:t xml:space="preserve">PostgreSQL + PostGIS, role-based access</w:t>
            </w:r>
          </w:p>
        </w:tc>
      </w:tr>
      <w:tr>
        <w:tc>
          <w:tcPr>
            <w:tcW w:type="dxa" w:w="3050"/>
            <w:tcMar>
              <w:top w:type="dxa" w:w="60"/>
              <w:left w:type="dxa" w:w="90"/>
              <w:bottom w:type="dxa" w:w="60"/>
              <w:right w:type="dxa" w:w="90"/>
            </w:tcMar>
          </w:tcPr>
          <w:p>
            <w:pPr>
              <w:spacing w:after="0"/>
            </w:pPr>
            <w:r>
              <w:rPr>
                <w:sz w:val="19"/>
                <w:szCs w:val="19"/>
              </w:rPr>
              <w:t xml:space="preserve">Scheduled processing &amp; reporting</w:t>
            </w:r>
          </w:p>
        </w:tc>
        <w:tc>
          <w:tcPr>
            <w:tcW w:type="dxa" w:w="2360"/>
            <w:tcMar>
              <w:top w:type="dxa" w:w="60"/>
              <w:left w:type="dxa" w:w="90"/>
              <w:bottom w:type="dxa" w:w="60"/>
              <w:right w:type="dxa" w:w="90"/>
            </w:tcMar>
          </w:tcPr>
          <w:p>
            <w:pPr>
              <w:spacing w:after="0"/>
            </w:pPr>
            <w:r>
              <w:rPr>
                <w:b/>
                <w:bCs/>
                <w:sz w:val="19"/>
                <w:szCs w:val="19"/>
              </w:rPr>
              <w:t xml:space="preserve">CIFOR-ICRAF server</w:t>
            </w:r>
          </w:p>
        </w:tc>
        <w:tc>
          <w:tcPr>
            <w:tcW w:type="dxa" w:w="3950"/>
            <w:tcMar>
              <w:top w:type="dxa" w:w="60"/>
              <w:left w:type="dxa" w:w="90"/>
              <w:bottom w:type="dxa" w:w="60"/>
              <w:right w:type="dxa" w:w="90"/>
            </w:tcMar>
          </w:tcPr>
          <w:p>
            <w:pPr>
              <w:spacing w:after="0"/>
            </w:pPr>
            <w:r>
              <w:rPr>
                <w:sz w:val="19"/>
                <w:szCs w:val="19"/>
              </w:rPr>
              <w:t xml:space="preserve">Python job on server cron; no always-on load</w:t>
            </w:r>
          </w:p>
        </w:tc>
      </w:tr>
      <w:tr>
        <w:tc>
          <w:tcPr>
            <w:tcW w:type="dxa" w:w="3050"/>
            <w:shd w:fill="EEF2F6" w:color="auto" w:val="clear"/>
            <w:tcMar>
              <w:top w:type="dxa" w:w="60"/>
              <w:left w:type="dxa" w:w="90"/>
              <w:bottom w:type="dxa" w:w="60"/>
              <w:right w:type="dxa" w:w="90"/>
            </w:tcMar>
          </w:tcPr>
          <w:p>
            <w:pPr>
              <w:spacing w:after="0"/>
            </w:pPr>
            <w:r>
              <w:rPr>
                <w:sz w:val="19"/>
                <w:szCs w:val="19"/>
              </w:rPr>
              <w:t xml:space="preserve">Document archives (OCR + reader)</w:t>
            </w:r>
          </w:p>
        </w:tc>
        <w:tc>
          <w:tcPr>
            <w:tcW w:type="dxa" w:w="2360"/>
            <w:shd w:fill="EEF2F6" w:color="auto" w:val="clear"/>
            <w:tcMar>
              <w:top w:type="dxa" w:w="60"/>
              <w:left w:type="dxa" w:w="90"/>
              <w:bottom w:type="dxa" w:w="60"/>
              <w:right w:type="dxa" w:w="90"/>
            </w:tcMar>
          </w:tcPr>
          <w:p>
            <w:pPr>
              <w:spacing w:after="0"/>
            </w:pPr>
            <w:r>
              <w:rPr>
                <w:b/>
                <w:bCs/>
                <w:sz w:val="19"/>
                <w:szCs w:val="19"/>
              </w:rPr>
              <w:t xml:space="preserve">CIFOR-ICRAF server + storage</w:t>
            </w:r>
          </w:p>
        </w:tc>
        <w:tc>
          <w:tcPr>
            <w:tcW w:type="dxa" w:w="3950"/>
            <w:shd w:fill="EEF2F6" w:color="auto" w:val="clear"/>
            <w:tcMar>
              <w:top w:type="dxa" w:w="60"/>
              <w:left w:type="dxa" w:w="90"/>
              <w:bottom w:type="dxa" w:w="60"/>
              <w:right w:type="dxa" w:w="90"/>
            </w:tcMar>
          </w:tcPr>
          <w:p>
            <w:pPr>
              <w:spacing w:after="0"/>
            </w:pPr>
            <w:r>
              <w:rPr>
                <w:sz w:val="19"/>
                <w:szCs w:val="19"/>
              </w:rPr>
              <w:t xml:space="preserve">Search index and scanned originals stay in-house</w:t>
            </w:r>
          </w:p>
        </w:tc>
      </w:tr>
      <w:tr>
        <w:tc>
          <w:tcPr>
            <w:tcW w:type="dxa" w:w="3050"/>
            <w:tcMar>
              <w:top w:type="dxa" w:w="60"/>
              <w:left w:type="dxa" w:w="90"/>
              <w:bottom w:type="dxa" w:w="60"/>
              <w:right w:type="dxa" w:w="90"/>
            </w:tcMar>
          </w:tcPr>
          <w:p>
            <w:pPr>
              <w:spacing w:after="0"/>
            </w:pPr>
            <w:r>
              <w:rPr>
                <w:sz w:val="19"/>
                <w:szCs w:val="19"/>
              </w:rPr>
              <w:t xml:space="preserve">Satellite / deforestation source data</w:t>
            </w:r>
          </w:p>
        </w:tc>
        <w:tc>
          <w:tcPr>
            <w:tcW w:type="dxa" w:w="2360"/>
            <w:tcMar>
              <w:top w:type="dxa" w:w="60"/>
              <w:left w:type="dxa" w:w="90"/>
              <w:bottom w:type="dxa" w:w="60"/>
              <w:right w:type="dxa" w:w="90"/>
            </w:tcMar>
          </w:tcPr>
          <w:p>
            <w:pPr>
              <w:spacing w:after="0"/>
            </w:pPr>
            <w:r>
              <w:rPr>
                <w:sz w:val="19"/>
                <w:szCs w:val="19"/>
              </w:rPr>
              <w:t xml:space="preserve">Read over the internet</w:t>
            </w:r>
          </w:p>
        </w:tc>
        <w:tc>
          <w:tcPr>
            <w:tcW w:type="dxa" w:w="3950"/>
            <w:tcMar>
              <w:top w:type="dxa" w:w="60"/>
              <w:left w:type="dxa" w:w="90"/>
              <w:bottom w:type="dxa" w:w="60"/>
              <w:right w:type="dxa" w:w="90"/>
            </w:tcMar>
          </w:tcPr>
          <w:p>
            <w:pPr>
              <w:spacing w:after="0"/>
            </w:pPr>
            <w:r>
              <w:rPr>
                <w:sz w:val="19"/>
                <w:szCs w:val="19"/>
              </w:rPr>
              <w:t xml:space="preserve">Free public feeds — data pulled in, nothing to host</w:t>
            </w:r>
          </w:p>
        </w:tc>
      </w:tr>
    </w:tbl>
    <w:p>
      <w:pPr>
        <w:spacing w:before="120" w:after="200"/>
      </w:pPr>
      <w:r>
        <w:t xml:space="preserve">Everything the project controls is hosted by CIFOR-ICRAF. The only thing that comes from outside is the raw satellite imagery itself, which is </w:t>
      </w:r>
      <w:r>
        <w:rPr>
          <w:b/>
          <w:bCs/>
        </w:rPr>
        <w:t xml:space="preserve">downloaded</w:t>
      </w:r>
      <w:r>
        <w:t xml:space="preserve"> from free public providers — it needs no hosting, no contract and, for the core feeds, no account.</w:t>
      </w:r>
    </w:p>
    <w:p>
      <w:pPr>
        <w:pStyle w:val="Heading1"/>
        <w:spacing w:before="240" w:after="120"/>
      </w:pPr>
      <w:r>
        <w:t xml:space="preserve">What to ask CIFOR-ICRAF IT for</w:t>
      </w:r>
    </w:p>
    <w:p>
      <w:pPr>
        <w:pStyle w:val="Heading2"/>
        <w:spacing w:before="240" w:after="120"/>
      </w:pPr>
      <w:r>
        <w:t xml:space="preserve">A.  One Linux server (or VM) that hosts the whole portal</w:t>
      </w:r>
    </w:p>
    <w:p>
      <w:pPr>
        <w:pStyle w:val="ListParagraph"/>
        <w:numPr>
          <w:ilvl w:val="0"/>
          <w:numId w:val="1"/>
        </w:numPr>
        <w:spacing w:after="60"/>
      </w:pPr>
      <w:r>
        <w:rPr>
          <w:b/>
          <w:bCs/>
        </w:rPr>
        <w:t xml:space="preserve">OS: </w:t>
      </w:r>
      <w:r>
        <w:t xml:space="preserve">Linux (Ubuntu / Debian LTS preferred)</w:t>
      </w:r>
    </w:p>
    <w:p>
      <w:pPr>
        <w:pStyle w:val="ListParagraph"/>
        <w:numPr>
          <w:ilvl w:val="0"/>
          <w:numId w:val="1"/>
        </w:numPr>
        <w:spacing w:after="60"/>
      </w:pPr>
      <w:r>
        <w:rPr>
          <w:b/>
          <w:bCs/>
        </w:rPr>
        <w:t xml:space="preserve">Size: </w:t>
      </w:r>
      <w:r>
        <w:t xml:space="preserve">~4 vCPU, 8 GB RAM, 100+ GB disk to start (disk grows with the scanned archive; all figures easily scaled later)</w:t>
      </w:r>
    </w:p>
    <w:p>
      <w:pPr>
        <w:pStyle w:val="ListParagraph"/>
        <w:numPr>
          <w:ilvl w:val="0"/>
          <w:numId w:val="1"/>
        </w:numPr>
        <w:spacing w:after="60"/>
      </w:pPr>
      <w:r>
        <w:rPr>
          <w:b/>
          <w:bCs/>
        </w:rPr>
        <w:t xml:space="preserve">Software: </w:t>
      </w:r>
      <w:r>
        <w:t xml:space="preserve">a web server (nginx / Apache) for the static site; PostgreSQL with the PostGIS extension; Python 3; Docker helpful but not required</w:t>
      </w:r>
    </w:p>
    <w:p>
      <w:pPr>
        <w:pStyle w:val="ListParagraph"/>
        <w:numPr>
          <w:ilvl w:val="0"/>
          <w:numId w:val="1"/>
        </w:numPr>
        <w:spacing w:after="60"/>
      </w:pPr>
      <w:r>
        <w:rPr>
          <w:b/>
          <w:bCs/>
        </w:rPr>
        <w:t xml:space="preserve">Scheduling: </w:t>
      </w:r>
      <w:r>
        <w:t xml:space="preserve">server cron (or systemd timers) to run the reporting job on a schedule</w:t>
      </w:r>
    </w:p>
    <w:p>
      <w:pPr>
        <w:pStyle w:val="ListParagraph"/>
        <w:numPr>
          <w:ilvl w:val="0"/>
          <w:numId w:val="1"/>
        </w:numPr>
        <w:spacing w:after="60"/>
      </w:pPr>
      <w:r>
        <w:rPr>
          <w:b/>
          <w:bCs/>
        </w:rPr>
        <w:t xml:space="preserve">A public web address: </w:t>
      </w:r>
      <w:r>
        <w:t xml:space="preserve">a subdomain under a CIFOR-ICRAF or project domain (e.g. oro-portal.…) with a TLS certificate and HTTPS (443) inbound, ideally behind their standard reverse proxy</w:t>
      </w:r>
    </w:p>
    <w:p>
      <w:pPr>
        <w:pStyle w:val="ListParagraph"/>
        <w:numPr>
          <w:ilvl w:val="0"/>
          <w:numId w:val="1"/>
        </w:numPr>
        <w:spacing w:after="60"/>
      </w:pPr>
      <w:r>
        <w:rPr>
          <w:b/>
          <w:bCs/>
        </w:rPr>
        <w:t xml:space="preserve">Outbound internet (HTTPS): </w:t>
      </w:r>
      <w:r>
        <w:t xml:space="preserve">so the server can pull free satellite data feeds</w:t>
      </w:r>
    </w:p>
    <w:p>
      <w:pPr>
        <w:pStyle w:val="ListParagraph"/>
        <w:numPr>
          <w:ilvl w:val="0"/>
          <w:numId w:val="1"/>
        </w:numPr>
        <w:spacing w:after="60"/>
      </w:pPr>
      <w:r>
        <w:rPr>
          <w:b/>
          <w:bCs/>
        </w:rPr>
        <w:t xml:space="preserve">Backups: </w:t>
      </w:r>
      <w:r>
        <w:t xml:space="preserve">their standard nightly database backup + file / snapshot policy</w:t>
      </w:r>
    </w:p>
    <w:p>
      <w:pPr>
        <w:pStyle w:val="ListParagraph"/>
        <w:numPr>
          <w:ilvl w:val="0"/>
          <w:numId w:val="1"/>
        </w:numPr>
        <w:spacing w:after="60"/>
      </w:pPr>
      <w:r>
        <w:rPr>
          <w:b/>
          <w:bCs/>
        </w:rPr>
        <w:t xml:space="preserve">Maintenance: </w:t>
      </w:r>
      <w:r>
        <w:t xml:space="preserve">confirm IT owns OS / security patching and uptime, or that we do</w:t>
      </w:r>
    </w:p>
    <w:p>
      <w:pPr>
        <w:spacing w:before="60" w:after="200"/>
      </w:pPr>
      <w:r>
        <w:rPr>
          <w:i/>
          <w:iCs/>
          <w:color w:val="5A5A5A"/>
        </w:rPr>
        <w:t xml:space="preserve">A single machine covers all five components above. It can later be split (web server separate from database) if load ever requires it, but that is not needed to start.</w:t>
      </w:r>
    </w:p>
    <w:p>
      <w:pPr>
        <w:pStyle w:val="Heading2"/>
        <w:spacing w:before="240" w:after="120"/>
      </w:pPr>
      <w:r>
        <w:t xml:space="preserve">B.  Storage for the document-archive originals</w:t>
      </w:r>
    </w:p>
    <w:p>
      <w:pPr>
        <w:spacing w:after="120"/>
      </w:pPr>
      <w:r>
        <w:t xml:space="preserve">The scanned PDFs / images are the bulk of the disk need (the OCR text index itself is small). Current estimates:</w:t>
      </w:r>
    </w:p>
    <w:tbl>
      <w:tblPr>
        <w:tblW w:type="dxa" w:w="6600"/>
        <w:tblBorders>
          <w:top w:val="single" w:color="CBD5E1" w:sz="2"/>
          <w:left w:val="single" w:color="CBD5E1" w:sz="2"/>
          <w:bottom w:val="single" w:color="CBD5E1" w:sz="2"/>
          <w:right w:val="single" w:color="CBD5E1" w:sz="2"/>
          <w:insideH w:val="single" w:color="CBD5E1" w:sz="2"/>
          <w:insideV w:val="single" w:color="CBD5E1" w:sz="2"/>
        </w:tblBorders>
      </w:tblPr>
      <w:tblGrid>
        <w:gridCol w:w="4400"/>
        <w:gridCol w:w="2200"/>
      </w:tblGrid>
      <w:tr>
        <w:trPr>
          <w:tblHeader/>
        </w:trPr>
        <w:tc>
          <w:tcPr>
            <w:tcW w:type="dxa" w:w="4400"/>
            <w:shd w:fill="1F3A5F" w:color="auto" w:val="clear"/>
            <w:tcMar>
              <w:top w:type="dxa" w:w="60"/>
              <w:left w:type="dxa" w:w="90"/>
              <w:bottom w:type="dxa" w:w="60"/>
              <w:right w:type="dxa" w:w="90"/>
            </w:tcMar>
          </w:tcPr>
          <w:p>
            <w:pPr>
              <w:spacing w:after="120"/>
            </w:pPr>
            <w:r>
              <w:rPr>
                <w:b/>
                <w:bCs/>
                <w:color w:val="FFFFFF"/>
                <w:sz w:val="19"/>
                <w:szCs w:val="19"/>
              </w:rPr>
              <w:t xml:space="preserve">Archive</w:t>
            </w:r>
          </w:p>
        </w:tc>
        <w:tc>
          <w:tcPr>
            <w:tcW w:type="dxa" w:w="2200"/>
            <w:shd w:fill="1F3A5F" w:color="auto" w:val="clear"/>
            <w:tcMar>
              <w:top w:type="dxa" w:w="60"/>
              <w:left w:type="dxa" w:w="90"/>
              <w:bottom w:type="dxa" w:w="60"/>
              <w:right w:type="dxa" w:w="90"/>
            </w:tcMar>
          </w:tcPr>
          <w:p>
            <w:pPr>
              <w:spacing w:after="120"/>
            </w:pPr>
            <w:r>
              <w:rPr>
                <w:b/>
                <w:bCs/>
                <w:color w:val="FFFFFF"/>
                <w:sz w:val="19"/>
                <w:szCs w:val="19"/>
              </w:rPr>
              <w:t xml:space="preserve">Estimated size</w:t>
            </w:r>
          </w:p>
        </w:tc>
      </w:tr>
      <w:tr>
        <w:tc>
          <w:tcPr>
            <w:tcW w:type="dxa" w:w="4400"/>
            <w:tcMar>
              <w:top w:type="dxa" w:w="60"/>
              <w:left w:type="dxa" w:w="90"/>
              <w:bottom w:type="dxa" w:w="60"/>
              <w:right w:type="dxa" w:w="90"/>
            </w:tcMar>
          </w:tcPr>
          <w:p>
            <w:pPr>
              <w:spacing w:after="0"/>
            </w:pPr>
            <w:r>
              <w:rPr>
                <w:sz w:val="19"/>
                <w:szCs w:val="19"/>
              </w:rPr>
              <w:t xml:space="preserve">Managalas (MCA)</w:t>
            </w:r>
          </w:p>
        </w:tc>
        <w:tc>
          <w:tcPr>
            <w:tcW w:type="dxa" w:w="2200"/>
            <w:tcMar>
              <w:top w:type="dxa" w:w="60"/>
              <w:left w:type="dxa" w:w="90"/>
              <w:bottom w:type="dxa" w:w="60"/>
              <w:right w:type="dxa" w:w="90"/>
            </w:tcMar>
          </w:tcPr>
          <w:p>
            <w:pPr>
              <w:spacing w:after="0"/>
            </w:pPr>
            <w:r>
              <w:rPr>
                <w:sz w:val="19"/>
                <w:szCs w:val="19"/>
              </w:rPr>
              <w:t xml:space="preserve">1 GB</w:t>
            </w:r>
          </w:p>
        </w:tc>
      </w:tr>
      <w:tr>
        <w:tc>
          <w:tcPr>
            <w:tcW w:type="dxa" w:w="4400"/>
            <w:shd w:fill="EEF2F6" w:color="auto" w:val="clear"/>
            <w:tcMar>
              <w:top w:type="dxa" w:w="60"/>
              <w:left w:type="dxa" w:w="90"/>
              <w:bottom w:type="dxa" w:w="60"/>
              <w:right w:type="dxa" w:w="90"/>
            </w:tcMar>
          </w:tcPr>
          <w:p>
            <w:pPr>
              <w:spacing w:after="0"/>
            </w:pPr>
            <w:r>
              <w:rPr>
                <w:sz w:val="19"/>
                <w:szCs w:val="19"/>
              </w:rPr>
              <w:t xml:space="preserve">QABB</w:t>
            </w:r>
          </w:p>
        </w:tc>
        <w:tc>
          <w:tcPr>
            <w:tcW w:type="dxa" w:w="2200"/>
            <w:shd w:fill="EEF2F6" w:color="auto" w:val="clear"/>
            <w:tcMar>
              <w:top w:type="dxa" w:w="60"/>
              <w:left w:type="dxa" w:w="90"/>
              <w:bottom w:type="dxa" w:w="60"/>
              <w:right w:type="dxa" w:w="90"/>
            </w:tcMar>
          </w:tcPr>
          <w:p>
            <w:pPr>
              <w:spacing w:after="0"/>
            </w:pPr>
            <w:r>
              <w:rPr>
                <w:sz w:val="19"/>
                <w:szCs w:val="19"/>
              </w:rPr>
              <w:t xml:space="preserve">1 GB</w:t>
            </w:r>
          </w:p>
        </w:tc>
      </w:tr>
      <w:tr>
        <w:tc>
          <w:tcPr>
            <w:tcW w:type="dxa" w:w="4400"/>
            <w:tcMar>
              <w:top w:type="dxa" w:w="60"/>
              <w:left w:type="dxa" w:w="90"/>
              <w:bottom w:type="dxa" w:w="60"/>
              <w:right w:type="dxa" w:w="90"/>
            </w:tcMar>
          </w:tcPr>
          <w:p>
            <w:pPr>
              <w:spacing w:after="0"/>
            </w:pPr>
            <w:r>
              <w:rPr>
                <w:sz w:val="19"/>
                <w:szCs w:val="19"/>
              </w:rPr>
              <w:t xml:space="preserve">Kokoda</w:t>
            </w:r>
          </w:p>
        </w:tc>
        <w:tc>
          <w:tcPr>
            <w:tcW w:type="dxa" w:w="2200"/>
            <w:tcMar>
              <w:top w:type="dxa" w:w="60"/>
              <w:left w:type="dxa" w:w="90"/>
              <w:bottom w:type="dxa" w:w="60"/>
              <w:right w:type="dxa" w:w="90"/>
            </w:tcMar>
          </w:tcPr>
          <w:p>
            <w:pPr>
              <w:spacing w:after="0"/>
            </w:pPr>
            <w:r>
              <w:rPr>
                <w:sz w:val="19"/>
                <w:szCs w:val="19"/>
              </w:rPr>
              <w:t xml:space="preserve">1 GB</w:t>
            </w:r>
          </w:p>
        </w:tc>
      </w:tr>
      <w:tr>
        <w:tc>
          <w:tcPr>
            <w:tcW w:type="dxa" w:w="4400"/>
            <w:shd w:fill="EEF2F6" w:color="auto" w:val="clear"/>
            <w:tcMar>
              <w:top w:type="dxa" w:w="60"/>
              <w:left w:type="dxa" w:w="90"/>
              <w:bottom w:type="dxa" w:w="60"/>
              <w:right w:type="dxa" w:w="90"/>
            </w:tcMar>
          </w:tcPr>
          <w:p>
            <w:pPr>
              <w:spacing w:after="0"/>
            </w:pPr>
            <w:r>
              <w:rPr>
                <w:sz w:val="19"/>
                <w:szCs w:val="19"/>
              </w:rPr>
              <w:t xml:space="preserve">CSIRO</w:t>
            </w:r>
          </w:p>
        </w:tc>
        <w:tc>
          <w:tcPr>
            <w:tcW w:type="dxa" w:w="2200"/>
            <w:shd w:fill="EEF2F6" w:color="auto" w:val="clear"/>
            <w:tcMar>
              <w:top w:type="dxa" w:w="60"/>
              <w:left w:type="dxa" w:w="90"/>
              <w:bottom w:type="dxa" w:w="60"/>
              <w:right w:type="dxa" w:w="90"/>
            </w:tcMar>
          </w:tcPr>
          <w:p>
            <w:pPr>
              <w:spacing w:after="0"/>
            </w:pPr>
            <w:r>
              <w:rPr>
                <w:sz w:val="19"/>
                <w:szCs w:val="19"/>
              </w:rPr>
              <w:t xml:space="preserve">100 MB</w:t>
            </w:r>
          </w:p>
        </w:tc>
      </w:tr>
      <w:tr>
        <w:tc>
          <w:tcPr>
            <w:tcW w:type="dxa" w:w="4400"/>
            <w:tcMar>
              <w:top w:type="dxa" w:w="60"/>
              <w:left w:type="dxa" w:w="90"/>
              <w:bottom w:type="dxa" w:w="60"/>
              <w:right w:type="dxa" w:w="90"/>
            </w:tcMar>
          </w:tcPr>
          <w:p>
            <w:pPr>
              <w:spacing w:after="0"/>
            </w:pPr>
            <w:r>
              <w:rPr>
                <w:sz w:val="19"/>
                <w:szCs w:val="19"/>
              </w:rPr>
              <w:t xml:space="preserve">Allowance for other / future archives</w:t>
            </w:r>
          </w:p>
        </w:tc>
        <w:tc>
          <w:tcPr>
            <w:tcW w:type="dxa" w:w="2200"/>
            <w:tcMar>
              <w:top w:type="dxa" w:w="60"/>
              <w:left w:type="dxa" w:w="90"/>
              <w:bottom w:type="dxa" w:w="60"/>
              <w:right w:type="dxa" w:w="90"/>
            </w:tcMar>
          </w:tcPr>
          <w:p>
            <w:pPr>
              <w:spacing w:after="0"/>
            </w:pPr>
            <w:r>
              <w:rPr>
                <w:sz w:val="19"/>
                <w:szCs w:val="19"/>
              </w:rPr>
              <w:t xml:space="preserve">5 GB</w:t>
            </w:r>
          </w:p>
        </w:tc>
      </w:tr>
      <w:tr>
        <w:tc>
          <w:tcPr>
            <w:tcW w:type="dxa" w:w="4400"/>
            <w:shd w:fill="DDE7EF" w:color="auto" w:val="clear"/>
            <w:tcMar>
              <w:top w:type="dxa" w:w="60"/>
              <w:left w:type="dxa" w:w="90"/>
              <w:bottom w:type="dxa" w:w="60"/>
              <w:right w:type="dxa" w:w="90"/>
            </w:tcMar>
          </w:tcPr>
          <w:p>
            <w:pPr>
              <w:spacing w:after="0"/>
            </w:pPr>
            <w:r>
              <w:rPr>
                <w:b/>
                <w:bCs/>
                <w:sz w:val="19"/>
                <w:szCs w:val="19"/>
              </w:rPr>
              <w:t xml:space="preserve">Total to plan for</w:t>
            </w:r>
          </w:p>
        </w:tc>
        <w:tc>
          <w:tcPr>
            <w:tcW w:type="dxa" w:w="2200"/>
            <w:shd w:fill="DDE7EF" w:color="auto" w:val="clear"/>
            <w:tcMar>
              <w:top w:type="dxa" w:w="60"/>
              <w:left w:type="dxa" w:w="90"/>
              <w:bottom w:type="dxa" w:w="60"/>
              <w:right w:type="dxa" w:w="90"/>
            </w:tcMar>
          </w:tcPr>
          <w:p>
            <w:pPr>
              <w:spacing w:after="0"/>
            </w:pPr>
            <w:r>
              <w:rPr>
                <w:b/>
                <w:bCs/>
                <w:sz w:val="19"/>
                <w:szCs w:val="19"/>
              </w:rPr>
              <w:t xml:space="preserve">~8 GB</w:t>
            </w:r>
          </w:p>
        </w:tc>
      </w:tr>
    </w:tbl>
    <w:p>
      <w:pPr>
        <w:spacing w:before="120" w:after="200"/>
      </w:pPr>
      <w:r>
        <w:t xml:space="preserve">So ~8 GB of scanned originals today, comfortably inside the 100 GB disk above (which also holds the OS, database, working space and generated reports). Can live on the server's own disk or on an institutional file / object store IT already runs.</w:t>
      </w:r>
    </w:p>
    <w:p>
      <w:pPr>
        <w:pStyle w:val="Heading2"/>
        <w:spacing w:before="240" w:after="120"/>
      </w:pPr>
      <w:r>
        <w:t xml:space="preserve">C.  Satellite processing — one decision for IT to note</w:t>
      </w:r>
    </w:p>
    <w:p>
      <w:pPr>
        <w:spacing w:after="120"/>
      </w:pPr>
      <w:r>
        <w:t xml:space="preserve">The heavy satellite analysis can be done either way; either keeps hosting in-house:</w:t>
      </w:r>
    </w:p>
    <w:p>
      <w:pPr>
        <w:pStyle w:val="ListParagraph"/>
        <w:numPr>
          <w:ilvl w:val="0"/>
          <w:numId w:val="1"/>
        </w:numPr>
        <w:spacing w:after="60"/>
      </w:pPr>
      <w:r>
        <w:rPr>
          <w:b/>
          <w:bCs/>
        </w:rPr>
        <w:t xml:space="preserve">Preferred (simplest): </w:t>
      </w:r>
      <w:r>
        <w:t xml:space="preserve">use a free Google Earth Engine research account to run the analysis and pull back only the results. Earth Engine is an external compute service we send jobs to — it hosts nothing of ours and costs nothing. If CIFOR-ICRAF already holds an Earth Engine credential, we can use it.</w:t>
      </w:r>
    </w:p>
    <w:p>
      <w:pPr>
        <w:pStyle w:val="ListParagraph"/>
        <w:numPr>
          <w:ilvl w:val="0"/>
          <w:numId w:val="1"/>
        </w:numPr>
        <w:spacing w:after="60"/>
      </w:pPr>
      <w:r>
        <w:rPr>
          <w:b/>
          <w:bCs/>
        </w:rPr>
        <w:t xml:space="preserve">Fully self-contained alternative: </w:t>
      </w:r>
      <w:r>
        <w:t xml:space="preserve">if IT prefers zero external services, the same analysis can run on the CIFOR-ICRAF server with open-source tools (GDAL / rasterio / Sentinel downloads). This needs a little more disk and CPU but removes the last outside dependency entirely.</w:t>
      </w:r>
    </w:p>
    <w:p>
      <w:pPr>
        <w:spacing w:after="120"/>
      </w:pPr>
      <w:r>
        <w:rPr>
          <w:i/>
          <w:iCs/>
          <w:color w:val="5A5A5A"/>
        </w:rPr>
        <w:t xml:space="preserve">Flag which of these CIFOR-ICRAF prefers — it is the only open choice in this setup.</w:t>
      </w:r>
    </w:p>
    <w:p>
      <w:pPr>
        <w:pStyle w:val="Heading2"/>
        <w:spacing w:before="240" w:after="120"/>
      </w:pPr>
      <w:r>
        <w:t xml:space="preserve">D.  One policy question</w:t>
      </w:r>
    </w:p>
    <w:p>
      <w:pPr>
        <w:pStyle w:val="ListParagraph"/>
        <w:numPr>
          <w:ilvl w:val="0"/>
          <w:numId w:val="1"/>
        </w:numPr>
        <w:spacing w:after="60"/>
      </w:pPr>
      <w:r>
        <w:rPr>
          <w:b/>
          <w:bCs/>
        </w:rPr>
        <w:t xml:space="preserve">Email sending: </w:t>
      </w:r>
      <w:r>
        <w:t xml:space="preserve">the reporting job sends periodic email digests. Can it relay through an institutional SMTP server? (Keeps mail in-house too.)</w:t>
      </w:r>
    </w:p>
    <w:p>
      <w:pPr>
        <w:pStyle w:val="Heading1"/>
        <w:spacing w:before="240" w:after="120"/>
      </w:pPr>
      <w:r>
        <w:t xml:space="preserve">Cost</w:t>
      </w:r>
    </w:p>
    <w:p>
      <w:pPr>
        <w:pStyle w:val="ListParagraph"/>
        <w:numPr>
          <w:ilvl w:val="0"/>
          <w:numId w:val="1"/>
        </w:numPr>
        <w:spacing w:after="60"/>
      </w:pPr>
      <w:r>
        <w:rPr>
          <w:b/>
          <w:bCs/>
        </w:rPr>
        <w:t xml:space="preserve">No recurring hosting cost </w:t>
      </w:r>
      <w:r>
        <w:t xml:space="preserve">beyond CIFOR-ICRAF's own infrastructure — no cloud bills, no per-service subscriptions.</w:t>
      </w:r>
    </w:p>
    <w:p>
      <w:pPr>
        <w:pStyle w:val="ListParagraph"/>
        <w:numPr>
          <w:ilvl w:val="0"/>
          <w:numId w:val="1"/>
        </w:numPr>
        <w:spacing w:after="60"/>
      </w:pPr>
      <w:r>
        <w:t xml:space="preserve">Only possible small item: a </w:t>
      </w:r>
      <w:r>
        <w:rPr>
          <w:b/>
          <w:bCs/>
        </w:rPr>
        <w:t xml:space="preserve">custom domain name</w:t>
      </w:r>
      <w:r>
        <w:t xml:space="preserve"> (~US$10–15/yr) if a suitable CIFOR-ICRAF domain isn't used.</w:t>
      </w:r>
    </w:p>
    <w:p>
      <w:pPr>
        <w:pStyle w:val="ListParagraph"/>
        <w:numPr>
          <w:ilvl w:val="0"/>
          <w:numId w:val="1"/>
        </w:numPr>
        <w:spacing w:after="60"/>
      </w:pPr>
      <w:r>
        <w:t xml:space="preserve">Core satellite feeds are free; the standard Planet NICFI programme tier is free for this use.</w:t>
      </w:r>
    </w:p>
    <w:p>
      <w:pPr>
        <w:pStyle w:val="Heading1"/>
        <w:spacing w:before="240" w:after="120"/>
      </w:pPr>
      <w:r>
        <w:t xml:space="preserve">What this model gives you</w:t>
      </w:r>
    </w:p>
    <w:p>
      <w:pPr>
        <w:pStyle w:val="ListParagraph"/>
        <w:numPr>
          <w:ilvl w:val="0"/>
          <w:numId w:val="1"/>
        </w:numPr>
        <w:spacing w:after="60"/>
      </w:pPr>
      <w:r>
        <w:rPr>
          <w:b/>
          <w:bCs/>
        </w:rPr>
        <w:t xml:space="preserve">Full data sovereignty </w:t>
      </w:r>
      <w:r>
        <w:t xml:space="preserve">— every layer, document and log stays on institutional infrastructure; nothing sensitive leaves CIFOR-ICRAF control.</w:t>
      </w:r>
    </w:p>
    <w:p>
      <w:pPr>
        <w:pStyle w:val="ListParagraph"/>
        <w:numPr>
          <w:ilvl w:val="0"/>
          <w:numId w:val="1"/>
        </w:numPr>
        <w:spacing w:after="60"/>
      </w:pPr>
      <w:r>
        <w:rPr>
          <w:b/>
          <w:bCs/>
        </w:rPr>
        <w:t xml:space="preserve">No third-party accounts or contracts </w:t>
      </w:r>
      <w:r>
        <w:t xml:space="preserve">for hosting.</w:t>
      </w:r>
    </w:p>
    <w:p>
      <w:pPr>
        <w:pStyle w:val="ListParagraph"/>
        <w:numPr>
          <w:ilvl w:val="0"/>
          <w:numId w:val="1"/>
        </w:numPr>
        <w:spacing w:after="60"/>
      </w:pPr>
      <w:r>
        <w:rPr>
          <w:b/>
          <w:bCs/>
        </w:rPr>
        <w:t xml:space="preserve">A single, well-understood machine </w:t>
      </w:r>
      <w:r>
        <w:t xml:space="preserve">to provision, back up and patch.</w:t>
      </w:r>
    </w:p>
    <w:p>
      <w:pPr>
        <w:spacing w:before="80" w:after="200"/>
      </w:pPr>
      <w:r>
        <w:rPr>
          <w:i/>
          <w:iCs/>
          <w:color w:val="5A5A5A"/>
        </w:rPr>
        <w:t xml:space="preserve">The trade-off versus a commercial-cloud setup is that CIFOR-ICRAF owns uptime, backups and security patching for that server — which is exactly the point of an in-house model.</w:t>
      </w:r>
    </w:p>
    <w:p>
      <w:pPr>
        <w:pStyle w:val="Heading1"/>
        <w:spacing w:before="240" w:after="120"/>
      </w:pPr>
      <w:r>
        <w:t xml:space="preserve">One-line summary for the activity list</w:t>
      </w:r>
    </w:p>
    <w:p>
      <w:pPr>
        <w:pBdr>
          <w:left w:val="single" w:color="2E6B3E" w:sz="18" w:space="12"/>
        </w:pBdr>
        <w:ind w:left="240"/>
      </w:pPr>
      <w:r>
        <w:rPr>
          <w:b/>
          <w:bCs/>
          <w:color w:val="1F3A5F"/>
        </w:rPr>
        <w:t xml:space="preserve">SO1 1.1 1.1-4 Develop data sharing portals</w:t>
      </w:r>
      <w:r>
        <w:t xml:space="preserve"> — Entire portal (public site, PostGIS database, scheduled reporting and document archive) hosted in-house on one CIFOR-ICRAF Linux server; no external hosting and no recurring cloud costs.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22222"/>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pPr>
    <w:rPr>
      <w:b/>
      <w:bCs/>
      <w:color w:val="1F3A5F"/>
      <w:sz w:val="30"/>
      <w:szCs w:val="30"/>
      <w:rFonts w:ascii="Calibri" w:cs="Calibri" w:eastAsia="Calibri" w:hAnsi="Calibri"/>
    </w:rPr>
  </w:style>
  <w:style w:type="paragraph" w:styleId="Heading2">
    <w:name w:val="Heading 2"/>
    <w:basedOn w:val="Normal"/>
    <w:next w:val="Normal"/>
    <w:qFormat/>
    <w:pPr>
      <w:spacing w:before="220" w:after="100"/>
    </w:pPr>
    <w:rPr>
      <w:b/>
      <w:bCs/>
      <w:color w:val="2E6B3E"/>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Oro Data Portal — Hosting Requirements for CIFOR-ICRAF IT</dc:title>
  <dc:creator>Oro Data Portal</dc:creator>
  <cp:lastModifiedBy>Un-named</cp:lastModifiedBy>
  <cp:revision>1</cp:revision>
  <dcterms:created xsi:type="dcterms:W3CDTF">2026-08-04T03:43:37.118Z</dcterms:created>
  <dcterms:modified xsi:type="dcterms:W3CDTF">2026-08-04T03:43:37.133Z</dcterms:modified>
</cp:coreProperties>
</file>

<file path=docProps/custom.xml><?xml version="1.0" encoding="utf-8"?>
<Properties xmlns="http://schemas.openxmlformats.org/officeDocument/2006/custom-properties" xmlns:vt="http://schemas.openxmlformats.org/officeDocument/2006/docPropsVTypes"/>
</file>