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16537">
      <w:pPr>
        <w:spacing w:before="400" w:after="200"/>
        <w:jc w:val="center"/>
      </w:pPr>
      <w:r>
        <w:rPr>
          <w:rFonts w:eastAsia="黑体"/>
          <w:b/>
          <w:color w:val="2C5282"/>
          <w:sz w:val="44"/>
        </w:rPr>
        <w:t>门店KPI指标体系</w:t>
      </w:r>
    </w:p>
    <w:p w14:paraId="1C09103C">
      <w:pPr>
        <w:spacing w:after="600"/>
        <w:jc w:val="center"/>
      </w:pPr>
      <w:r>
        <w:rPr>
          <w:color w:val="4A5568"/>
          <w:sz w:val="28"/>
        </w:rPr>
        <w:t>与话术场景关联应用手册</w:t>
      </w:r>
    </w:p>
    <w:p w14:paraId="57117C90">
      <w:pPr>
        <w:pStyle w:val="2"/>
      </w:pPr>
      <w:r>
        <w:t>一、店铺整体诊断指标（业绩维度）</w:t>
      </w:r>
    </w:p>
    <w:tbl>
      <w:tblPr>
        <w:tblStyle w:val="3"/>
        <w:tblW w:w="12000" w:type="dxa"/>
        <w:jc w:val="center"/>
        <w:tblBorders>
          <w:top w:val="single" w:color="90CDF4" w:sz="8" w:space="0"/>
          <w:left w:val="single" w:color="90CDF4" w:sz="8" w:space="0"/>
          <w:bottom w:val="single" w:color="90CDF4" w:sz="8" w:space="0"/>
          <w:right w:val="single" w:color="90CDF4" w:sz="8" w:space="0"/>
          <w:insideH w:val="single" w:color="90CDF4" w:sz="4" w:space="0"/>
          <w:insideV w:val="single" w:color="90CDF4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552"/>
        <w:gridCol w:w="3456"/>
        <w:gridCol w:w="3463"/>
        <w:gridCol w:w="3529"/>
      </w:tblGrid>
      <w:tr w14:paraId="5EA092CB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tblHeader/>
          <w:jc w:val="center"/>
        </w:trPr>
        <w:tc>
          <w:tcPr>
            <w:tcW w:w="1553" w:type="dxa"/>
            <w:shd w:val="clear" w:color="auto" w:fill="EBF4FF"/>
            <w:vAlign w:val="center"/>
          </w:tcPr>
          <w:p w14:paraId="369F7E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sz w:val="21"/>
              </w:rPr>
            </w:pPr>
            <w:r>
              <w:rPr>
                <w:rFonts w:ascii="Calibri" w:eastAsia="微软雅黑"/>
                <w:b/>
                <w:color w:val="2C5282"/>
                <w:sz w:val="21"/>
              </w:rPr>
              <w:t>KPI指标</w:t>
            </w:r>
          </w:p>
        </w:tc>
        <w:tc>
          <w:tcPr>
            <w:tcW w:w="3456" w:type="dxa"/>
            <w:shd w:val="clear" w:color="auto" w:fill="EBF4FF"/>
            <w:vAlign w:val="center"/>
          </w:tcPr>
          <w:p w14:paraId="6BF6B70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sz w:val="21"/>
              </w:rPr>
            </w:pPr>
            <w:r>
              <w:rPr>
                <w:rFonts w:ascii="Calibri" w:eastAsia="微软雅黑"/>
                <w:b/>
                <w:color w:val="2C5282"/>
                <w:sz w:val="21"/>
              </w:rPr>
              <w:t>计算公式</w:t>
            </w:r>
          </w:p>
        </w:tc>
        <w:tc>
          <w:tcPr>
            <w:tcW w:w="3463" w:type="dxa"/>
            <w:shd w:val="clear" w:color="auto" w:fill="EBF4FF"/>
            <w:vAlign w:val="center"/>
          </w:tcPr>
          <w:p w14:paraId="031E4C1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sz w:val="21"/>
              </w:rPr>
            </w:pPr>
            <w:r>
              <w:rPr>
                <w:rFonts w:ascii="Calibri" w:eastAsia="微软雅黑"/>
                <w:b/>
                <w:color w:val="2C5282"/>
                <w:sz w:val="21"/>
              </w:rPr>
              <w:t>与话术场景的关联应用</w:t>
            </w:r>
          </w:p>
        </w:tc>
        <w:tc>
          <w:tcPr>
            <w:tcW w:w="3529" w:type="dxa"/>
            <w:shd w:val="clear" w:color="auto" w:fill="EBF4FF"/>
            <w:vAlign w:val="center"/>
          </w:tcPr>
          <w:p w14:paraId="276A9E2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sz w:val="21"/>
              </w:rPr>
            </w:pPr>
            <w:r>
              <w:rPr>
                <w:rFonts w:ascii="Calibri" w:eastAsia="微软雅黑"/>
                <w:b/>
                <w:color w:val="2C5282"/>
                <w:sz w:val="21"/>
              </w:rPr>
              <w:t>店长关注要点</w:t>
            </w:r>
          </w:p>
        </w:tc>
      </w:tr>
      <w:tr w14:paraId="312B66BD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553" w:type="dxa"/>
            <w:vAlign w:val="center"/>
          </w:tcPr>
          <w:p w14:paraId="2B68550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业绩完成率</w:t>
            </w:r>
          </w:p>
        </w:tc>
        <w:tc>
          <w:tcPr>
            <w:tcW w:w="3456" w:type="dxa"/>
            <w:vAlign w:val="center"/>
          </w:tcPr>
          <w:p w14:paraId="1C6FB3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(实际销售额÷目标销售额)×100%</w:t>
            </w:r>
          </w:p>
        </w:tc>
        <w:tc>
          <w:tcPr>
            <w:tcW w:w="3463" w:type="dxa"/>
            <w:vAlign w:val="center"/>
          </w:tcPr>
          <w:p w14:paraId="5A843AB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关联大单场景：完成率&lt;100%时，需重点演练“全套搭配话术”，提升客单价</w:t>
            </w:r>
          </w:p>
        </w:tc>
        <w:tc>
          <w:tcPr>
            <w:tcW w:w="3529" w:type="dxa"/>
            <w:vAlign w:val="center"/>
          </w:tcPr>
          <w:p w14:paraId="23BCA00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看绝对值是否≥100%，且要结合时间进度判断超前或滞后</w:t>
            </w:r>
          </w:p>
        </w:tc>
      </w:tr>
      <w:tr w14:paraId="38E01F94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553" w:type="dxa"/>
            <w:vAlign w:val="center"/>
          </w:tcPr>
          <w:p w14:paraId="18DA7B3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完成进度</w:t>
            </w:r>
          </w:p>
        </w:tc>
        <w:tc>
          <w:tcPr>
            <w:tcW w:w="3456" w:type="dxa"/>
            <w:vAlign w:val="center"/>
          </w:tcPr>
          <w:p w14:paraId="49EB79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(当前累计销售额÷周期总目标)÷(已过天数÷周期总天数)×100%</w:t>
            </w:r>
          </w:p>
        </w:tc>
        <w:tc>
          <w:tcPr>
            <w:tcW w:w="3463" w:type="dxa"/>
            <w:vAlign w:val="center"/>
          </w:tcPr>
          <w:p w14:paraId="16A2207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关联充值场景：进度滞后时，启动“算账对比法”储值活动，锁定现金流</w:t>
            </w:r>
          </w:p>
        </w:tc>
        <w:tc>
          <w:tcPr>
            <w:tcW w:w="3529" w:type="dxa"/>
            <w:vAlign w:val="center"/>
          </w:tcPr>
          <w:p w14:paraId="273F85E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&gt;100%：进度超前；&lt;100%：立即启动储值+连带双引擎</w:t>
            </w:r>
          </w:p>
        </w:tc>
      </w:tr>
      <w:tr w14:paraId="489B4CB4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553" w:type="dxa"/>
            <w:vAlign w:val="center"/>
          </w:tcPr>
          <w:p w14:paraId="093D29F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同比增长</w:t>
            </w:r>
          </w:p>
        </w:tc>
        <w:tc>
          <w:tcPr>
            <w:tcW w:w="3456" w:type="dxa"/>
            <w:vAlign w:val="center"/>
          </w:tcPr>
          <w:p w14:paraId="0682162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(本期销售额-去年同期销售额)÷去年同期销售额×100%</w:t>
            </w:r>
          </w:p>
        </w:tc>
        <w:tc>
          <w:tcPr>
            <w:tcW w:w="3463" w:type="dxa"/>
            <w:vAlign w:val="center"/>
          </w:tcPr>
          <w:p w14:paraId="788E9AE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关联VIP场景：同比低增长时，加大“电话/微信邀约话术”执行力度</w:t>
            </w:r>
          </w:p>
        </w:tc>
        <w:tc>
          <w:tcPr>
            <w:tcW w:w="3529" w:type="dxa"/>
            <w:vAlign w:val="center"/>
          </w:tcPr>
          <w:p w14:paraId="1EDBB51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剔除季节因素（如清明返乡季错位），看品牌成长力</w:t>
            </w:r>
          </w:p>
        </w:tc>
      </w:tr>
      <w:tr w14:paraId="436C93AC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553" w:type="dxa"/>
            <w:vAlign w:val="center"/>
          </w:tcPr>
          <w:p w14:paraId="21E9F80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环比增长</w:t>
            </w:r>
          </w:p>
        </w:tc>
        <w:tc>
          <w:tcPr>
            <w:tcW w:w="3456" w:type="dxa"/>
            <w:vAlign w:val="center"/>
          </w:tcPr>
          <w:p w14:paraId="45421A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(本期销售额-上期销售额)÷上期销售额×100%</w:t>
            </w:r>
          </w:p>
        </w:tc>
        <w:tc>
          <w:tcPr>
            <w:tcW w:w="3463" w:type="dxa"/>
            <w:vAlign w:val="center"/>
          </w:tcPr>
          <w:p w14:paraId="06EAFCC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关联连带场景：环比下滑时，晨会重点演练“1+2法则”（1件主品+2件配饰）</w:t>
            </w:r>
          </w:p>
        </w:tc>
        <w:tc>
          <w:tcPr>
            <w:tcW w:w="3529" w:type="dxa"/>
            <w:vAlign w:val="center"/>
          </w:tcPr>
          <w:p w14:paraId="40A3205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用于短期策略验证，如促销后是否回落、培训后是否提升</w:t>
            </w:r>
          </w:p>
        </w:tc>
      </w:tr>
      <w:tr w14:paraId="2629A170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553" w:type="dxa"/>
            <w:vAlign w:val="center"/>
          </w:tcPr>
          <w:p w14:paraId="4A631E3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竞品横比增长</w:t>
            </w:r>
          </w:p>
        </w:tc>
        <w:tc>
          <w:tcPr>
            <w:tcW w:w="3456" w:type="dxa"/>
            <w:vAlign w:val="center"/>
          </w:tcPr>
          <w:p w14:paraId="2DB0160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(本品牌增长率-竞品增长率)÷竞品增长率×100%</w:t>
            </w:r>
          </w:p>
        </w:tc>
        <w:tc>
          <w:tcPr>
            <w:tcW w:w="3463" w:type="dxa"/>
            <w:vAlign w:val="center"/>
          </w:tcPr>
          <w:p w14:paraId="5717DF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关联异议场景：被竞品挤压时，强化“别家更便宜”异议处理话术训练</w:t>
            </w:r>
          </w:p>
        </w:tc>
        <w:tc>
          <w:tcPr>
            <w:tcW w:w="3529" w:type="dxa"/>
            <w:vAlign w:val="center"/>
          </w:tcPr>
          <w:p w14:paraId="2428684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看“跑赢大盘”能力：即使自己增长10%，竞品增长30%也是落后</w:t>
            </w:r>
          </w:p>
        </w:tc>
      </w:tr>
      <w:tr w14:paraId="5A988975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553" w:type="dxa"/>
            <w:vAlign w:val="center"/>
          </w:tcPr>
          <w:p w14:paraId="59EA9D0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1A202C"/>
                <w:sz w:val="20"/>
              </w:rPr>
              <w:t>店铺平均人效</w:t>
            </w:r>
          </w:p>
        </w:tc>
        <w:tc>
          <w:tcPr>
            <w:tcW w:w="3456" w:type="dxa"/>
            <w:vAlign w:val="center"/>
          </w:tcPr>
          <w:p w14:paraId="655143A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b/>
              </w:rPr>
            </w:pPr>
            <w:r>
              <w:rPr>
                <w:b/>
                <w:color w:val="1A202C"/>
                <w:sz w:val="20"/>
              </w:rPr>
              <w:t>店铺总销售额÷店铺总人数（按天/按月）</w:t>
            </w:r>
          </w:p>
        </w:tc>
        <w:tc>
          <w:tcPr>
            <w:tcW w:w="3463" w:type="dxa"/>
            <w:vAlign w:val="center"/>
          </w:tcPr>
          <w:p w14:paraId="0CDAB76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b/>
              </w:rPr>
            </w:pPr>
            <w:r>
              <w:rPr>
                <w:b/>
                <w:color w:val="1A202C"/>
                <w:sz w:val="20"/>
              </w:rPr>
              <w:t>关联大单场景：人效低时，检查员工是否掌握“需求挖掘→全套搭配”流程</w:t>
            </w:r>
          </w:p>
        </w:tc>
        <w:tc>
          <w:tcPr>
            <w:tcW w:w="3529" w:type="dxa"/>
            <w:vAlign w:val="center"/>
          </w:tcPr>
          <w:p w14:paraId="2E1BFC4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1A202C"/>
                <w:sz w:val="20"/>
              </w:rPr>
              <w:t>用于排班优化，确保人均产出覆盖人力成本</w:t>
            </w:r>
          </w:p>
        </w:tc>
      </w:tr>
      <w:tr w14:paraId="0EF1EC3D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553" w:type="dxa"/>
            <w:vAlign w:val="center"/>
          </w:tcPr>
          <w:p w14:paraId="26B2C15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会员销售占比</w:t>
            </w:r>
          </w:p>
        </w:tc>
        <w:tc>
          <w:tcPr>
            <w:tcW w:w="3456" w:type="dxa"/>
            <w:vAlign w:val="center"/>
          </w:tcPr>
          <w:p w14:paraId="52D1F25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会员消费金额÷总销售额×100%</w:t>
            </w:r>
          </w:p>
        </w:tc>
        <w:tc>
          <w:tcPr>
            <w:tcW w:w="3463" w:type="dxa"/>
            <w:vAlign w:val="center"/>
          </w:tcPr>
          <w:p w14:paraId="20A3C28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关联VIP场景：占比&lt;40%说明新客开发过度，需强化“情感维系话术”</w:t>
            </w:r>
          </w:p>
        </w:tc>
        <w:tc>
          <w:tcPr>
            <w:tcW w:w="3529" w:type="dxa"/>
            <w:vAlign w:val="center"/>
          </w:tcPr>
          <w:p w14:paraId="071425B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健康值40-60%：低于30%预警会员流失；高于70%说明新客乏力</w:t>
            </w:r>
          </w:p>
        </w:tc>
      </w:tr>
      <w:tr w14:paraId="210FBE31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553" w:type="dxa"/>
            <w:vAlign w:val="center"/>
          </w:tcPr>
          <w:p w14:paraId="62BCD76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会员复购率</w:t>
            </w:r>
          </w:p>
        </w:tc>
        <w:tc>
          <w:tcPr>
            <w:tcW w:w="3456" w:type="dxa"/>
            <w:vAlign w:val="center"/>
          </w:tcPr>
          <w:p w14:paraId="4F332D8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购买≥2次的会员数÷总会员数×100%</w:t>
            </w:r>
          </w:p>
        </w:tc>
        <w:tc>
          <w:tcPr>
            <w:tcW w:w="3463" w:type="dxa"/>
            <w:vAlign w:val="center"/>
          </w:tcPr>
          <w:p w14:paraId="439D1C9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关联VIP场景：复购率低时，检查“7天回访预告”是否执行到位</w:t>
            </w:r>
          </w:p>
        </w:tc>
        <w:tc>
          <w:tcPr>
            <w:tcW w:w="3529" w:type="dxa"/>
            <w:vAlign w:val="center"/>
          </w:tcPr>
          <w:p w14:paraId="13C9430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季度维度：低于20%预警（粘性不足）；高于40%优秀</w:t>
            </w:r>
          </w:p>
        </w:tc>
      </w:tr>
      <w:tr w14:paraId="1E8C6BAA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553" w:type="dxa"/>
            <w:vAlign w:val="center"/>
          </w:tcPr>
          <w:p w14:paraId="20D172E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充值金额占比</w:t>
            </w:r>
          </w:p>
        </w:tc>
        <w:tc>
          <w:tcPr>
            <w:tcW w:w="3456" w:type="dxa"/>
            <w:vAlign w:val="center"/>
          </w:tcPr>
          <w:p w14:paraId="7F82626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储值充值金额÷总销售额×100%</w:t>
            </w:r>
          </w:p>
        </w:tc>
        <w:tc>
          <w:tcPr>
            <w:tcW w:w="3463" w:type="dxa"/>
            <w:vAlign w:val="center"/>
          </w:tcPr>
          <w:p w14:paraId="4E53D1A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关联充值场景：占比低时，复盘“紧迫感营造”话术（如“清明返乡季专属优惠”）</w:t>
            </w:r>
          </w:p>
        </w:tc>
        <w:tc>
          <w:tcPr>
            <w:tcW w:w="3529" w:type="dxa"/>
            <w:vAlign w:val="center"/>
          </w:tcPr>
          <w:p w14:paraId="0D777D9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短期可&gt;100%（活动期）；长期看现金流安全垫</w:t>
            </w:r>
          </w:p>
        </w:tc>
      </w:tr>
      <w:tr w14:paraId="0F08C866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553" w:type="dxa"/>
            <w:vAlign w:val="center"/>
          </w:tcPr>
          <w:p w14:paraId="0E8261D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充值单数占比</w:t>
            </w:r>
          </w:p>
        </w:tc>
        <w:tc>
          <w:tcPr>
            <w:tcW w:w="3456" w:type="dxa"/>
            <w:vAlign w:val="center"/>
          </w:tcPr>
          <w:p w14:paraId="33C16B2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含充值的成交单数÷总成交单数×100%</w:t>
            </w:r>
          </w:p>
        </w:tc>
        <w:tc>
          <w:tcPr>
            <w:tcW w:w="3463" w:type="dxa"/>
            <w:vAlign w:val="center"/>
          </w:tcPr>
          <w:p w14:paraId="596FA45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关联充值场景：每5单至少1单储值，检查“算账对比法”熟练度</w:t>
            </w:r>
          </w:p>
        </w:tc>
        <w:tc>
          <w:tcPr>
            <w:tcW w:w="3529" w:type="dxa"/>
            <w:vAlign w:val="center"/>
          </w:tcPr>
          <w:p w14:paraId="50D9EA0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目标&gt;20%：低于10%说明“最低充值300送50”话术未渗透</w:t>
            </w:r>
          </w:p>
        </w:tc>
      </w:tr>
    </w:tbl>
    <w:p w14:paraId="014CF29B">
      <w:pPr>
        <w:pStyle w:val="2"/>
      </w:pPr>
      <w:r>
        <w:t>二、细节追踪指标（员工个体诊断）</w:t>
      </w:r>
    </w:p>
    <w:tbl>
      <w:tblPr>
        <w:tblStyle w:val="3"/>
        <w:tblW w:w="12000" w:type="dxa"/>
        <w:jc w:val="center"/>
        <w:tblBorders>
          <w:top w:val="single" w:color="90CDF4" w:sz="8" w:space="0"/>
          <w:left w:val="single" w:color="90CDF4" w:sz="8" w:space="0"/>
          <w:bottom w:val="single" w:color="90CDF4" w:sz="8" w:space="0"/>
          <w:right w:val="single" w:color="90CDF4" w:sz="8" w:space="0"/>
          <w:insideH w:val="single" w:color="90CDF4" w:sz="4" w:space="0"/>
          <w:insideV w:val="single" w:color="90CDF4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56"/>
        <w:gridCol w:w="3047"/>
        <w:gridCol w:w="3980"/>
        <w:gridCol w:w="3617"/>
      </w:tblGrid>
      <w:tr w14:paraId="40F6BA99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tblHeader/>
          <w:jc w:val="center"/>
        </w:trPr>
        <w:tc>
          <w:tcPr>
            <w:tcW w:w="1356" w:type="dxa"/>
            <w:shd w:val="clear" w:color="auto" w:fill="EBF4FF"/>
            <w:vAlign w:val="center"/>
          </w:tcPr>
          <w:p w14:paraId="6A11DD6A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sz w:val="21"/>
              </w:rPr>
            </w:pPr>
            <w:r>
              <w:rPr>
                <w:rFonts w:ascii="Calibri" w:eastAsia="微软雅黑"/>
                <w:b/>
                <w:color w:val="2C5282"/>
                <w:sz w:val="21"/>
              </w:rPr>
              <w:t>KPI指标</w:t>
            </w:r>
          </w:p>
        </w:tc>
        <w:tc>
          <w:tcPr>
            <w:tcW w:w="3047" w:type="dxa"/>
            <w:shd w:val="clear" w:color="auto" w:fill="EBF4FF"/>
            <w:vAlign w:val="center"/>
          </w:tcPr>
          <w:p w14:paraId="4B74D86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sz w:val="21"/>
              </w:rPr>
            </w:pPr>
            <w:r>
              <w:rPr>
                <w:rFonts w:ascii="Calibri" w:eastAsia="微软雅黑"/>
                <w:b/>
                <w:color w:val="2C5282"/>
                <w:sz w:val="21"/>
              </w:rPr>
              <w:t>计算公式</w:t>
            </w:r>
          </w:p>
        </w:tc>
        <w:tc>
          <w:tcPr>
            <w:tcW w:w="3980" w:type="dxa"/>
            <w:shd w:val="clear" w:color="auto" w:fill="EBF4FF"/>
            <w:vAlign w:val="center"/>
          </w:tcPr>
          <w:p w14:paraId="073CB0F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sz w:val="21"/>
              </w:rPr>
            </w:pPr>
            <w:r>
              <w:rPr>
                <w:rFonts w:ascii="Calibri" w:eastAsia="微软雅黑"/>
                <w:b/>
                <w:color w:val="2C5282"/>
                <w:sz w:val="21"/>
              </w:rPr>
              <w:t>与话术场景的关联应用</w:t>
            </w:r>
          </w:p>
        </w:tc>
        <w:tc>
          <w:tcPr>
            <w:tcW w:w="3617" w:type="dxa"/>
            <w:shd w:val="clear" w:color="auto" w:fill="EBF4FF"/>
            <w:vAlign w:val="center"/>
          </w:tcPr>
          <w:p w14:paraId="0CB659F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sz w:val="21"/>
              </w:rPr>
            </w:pPr>
            <w:r>
              <w:rPr>
                <w:rFonts w:ascii="Calibri" w:eastAsia="微软雅黑"/>
                <w:b/>
                <w:color w:val="2C5282"/>
                <w:sz w:val="21"/>
              </w:rPr>
              <w:t>店长关注要点</w:t>
            </w:r>
          </w:p>
        </w:tc>
      </w:tr>
      <w:tr w14:paraId="49612523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356" w:type="dxa"/>
            <w:vAlign w:val="center"/>
          </w:tcPr>
          <w:p w14:paraId="7912894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个人人效</w:t>
            </w:r>
          </w:p>
        </w:tc>
        <w:tc>
          <w:tcPr>
            <w:tcW w:w="3047" w:type="dxa"/>
            <w:vAlign w:val="center"/>
          </w:tcPr>
          <w:p w14:paraId="5A5E097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个人销售额÷个人实际上班天数</w:t>
            </w:r>
          </w:p>
        </w:tc>
        <w:tc>
          <w:tcPr>
            <w:tcW w:w="3980" w:type="dxa"/>
            <w:vAlign w:val="center"/>
          </w:tcPr>
          <w:p w14:paraId="58D66A2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关联大单场景：人效低者，重点训练“场景构建→全套搭配→价值塑造”流程</w:t>
            </w:r>
          </w:p>
        </w:tc>
        <w:tc>
          <w:tcPr>
            <w:tcW w:w="3617" w:type="dxa"/>
            <w:vAlign w:val="center"/>
          </w:tcPr>
          <w:p w14:paraId="5E7E4A5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识别“伪忙碌”：看似忙碌但产出低，需调整接待质量</w:t>
            </w:r>
          </w:p>
        </w:tc>
      </w:tr>
      <w:tr w14:paraId="1D92BF23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356" w:type="dxa"/>
            <w:vAlign w:val="center"/>
          </w:tcPr>
          <w:p w14:paraId="46EB18B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人效排名</w:t>
            </w:r>
          </w:p>
        </w:tc>
        <w:tc>
          <w:tcPr>
            <w:tcW w:w="3047" w:type="dxa"/>
            <w:vAlign w:val="center"/>
          </w:tcPr>
          <w:p w14:paraId="14F6520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按人效高低排序（第1名、第2名...）</w:t>
            </w:r>
          </w:p>
        </w:tc>
        <w:tc>
          <w:tcPr>
            <w:tcW w:w="3980" w:type="dxa"/>
            <w:vAlign w:val="center"/>
          </w:tcPr>
          <w:p w14:paraId="2F50344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关联演练考核：前20%标杆复制“进阶话术”，后10%补训“基础话术”</w:t>
            </w:r>
          </w:p>
        </w:tc>
        <w:tc>
          <w:tcPr>
            <w:tcW w:w="3617" w:type="dxa"/>
            <w:vAlign w:val="center"/>
          </w:tcPr>
          <w:p w14:paraId="336C812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用于梯队管理：前20%标杆、中间70%提升、后10%预警</w:t>
            </w:r>
          </w:p>
        </w:tc>
      </w:tr>
      <w:tr w14:paraId="44C7FF25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356" w:type="dxa"/>
            <w:vAlign w:val="center"/>
          </w:tcPr>
          <w:p w14:paraId="796987B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个人完成率</w:t>
            </w:r>
          </w:p>
        </w:tc>
        <w:tc>
          <w:tcPr>
            <w:tcW w:w="3047" w:type="dxa"/>
            <w:vAlign w:val="center"/>
          </w:tcPr>
          <w:p w14:paraId="504B3B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个人实际销售额÷个人目标销售额×100%</w:t>
            </w:r>
          </w:p>
        </w:tc>
        <w:tc>
          <w:tcPr>
            <w:tcW w:w="3980" w:type="dxa"/>
            <w:vAlign w:val="center"/>
          </w:tcPr>
          <w:p w14:paraId="4BA2EDAC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关联连带场景：完成率低者，检查是否执行“试衣间拿三套”动作</w:t>
            </w:r>
          </w:p>
        </w:tc>
        <w:tc>
          <w:tcPr>
            <w:tcW w:w="3617" w:type="dxa"/>
            <w:vAlign w:val="center"/>
          </w:tcPr>
          <w:p w14:paraId="53A184C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区分“店铺达标但个人掉队”，避免“一人扛全队”</w:t>
            </w:r>
          </w:p>
        </w:tc>
      </w:tr>
      <w:tr w14:paraId="1D26D3B7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356" w:type="dxa"/>
            <w:vAlign w:val="center"/>
          </w:tcPr>
          <w:p w14:paraId="3006368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成交率</w:t>
            </w:r>
          </w:p>
        </w:tc>
        <w:tc>
          <w:tcPr>
            <w:tcW w:w="3047" w:type="dxa"/>
            <w:vAlign w:val="center"/>
          </w:tcPr>
          <w:p w14:paraId="66F7030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成交单数÷试穿单数×100%</w:t>
            </w:r>
          </w:p>
        </w:tc>
        <w:tc>
          <w:tcPr>
            <w:tcW w:w="3980" w:type="dxa"/>
            <w:vAlign w:val="center"/>
          </w:tcPr>
          <w:p w14:paraId="6524EB0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关联异议场景：成交率低时，演练“太贵了”“我再看看”等异议处理</w:t>
            </w:r>
          </w:p>
        </w:tc>
        <w:tc>
          <w:tcPr>
            <w:tcW w:w="3617" w:type="dxa"/>
            <w:vAlign w:val="center"/>
          </w:tcPr>
          <w:p w14:paraId="486D4F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看“临门一脚”：高试穿低成交=逼单问题；低试穿=迎宾问题</w:t>
            </w:r>
          </w:p>
        </w:tc>
      </w:tr>
      <w:tr w14:paraId="7132F950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356" w:type="dxa"/>
            <w:vAlign w:val="center"/>
          </w:tcPr>
          <w:p w14:paraId="787A658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连带率</w:t>
            </w:r>
          </w:p>
        </w:tc>
        <w:tc>
          <w:tcPr>
            <w:tcW w:w="3047" w:type="dxa"/>
            <w:vAlign w:val="center"/>
          </w:tcPr>
          <w:p w14:paraId="778495B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销售总件数÷成交单数</w:t>
            </w:r>
          </w:p>
        </w:tc>
        <w:tc>
          <w:tcPr>
            <w:tcW w:w="3980" w:type="dxa"/>
            <w:vAlign w:val="center"/>
          </w:tcPr>
          <w:p w14:paraId="6002905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关联连带场景：凯施迪核心指标！检查“上衣→下装→配饰”关联话术执行</w:t>
            </w:r>
          </w:p>
        </w:tc>
        <w:tc>
          <w:tcPr>
            <w:tcW w:w="3617" w:type="dxa"/>
            <w:vAlign w:val="center"/>
          </w:tcPr>
          <w:p w14:paraId="4DB0109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生死线：&lt;1.5危险，1.5-2.0合格，&gt;2.0优秀</w:t>
            </w:r>
          </w:p>
        </w:tc>
      </w:tr>
      <w:tr w14:paraId="35EF6C54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356" w:type="dxa"/>
            <w:vAlign w:val="center"/>
          </w:tcPr>
          <w:p w14:paraId="5639B36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连带率排名差距</w:t>
            </w:r>
          </w:p>
        </w:tc>
        <w:tc>
          <w:tcPr>
            <w:tcW w:w="3047" w:type="dxa"/>
            <w:vAlign w:val="center"/>
          </w:tcPr>
          <w:p w14:paraId="3939C3A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团队平均连带率 - 个人连带率</w:t>
            </w:r>
          </w:p>
        </w:tc>
        <w:tc>
          <w:tcPr>
            <w:tcW w:w="3980" w:type="dxa"/>
            <w:vAlign w:val="center"/>
          </w:tcPr>
          <w:p w14:paraId="6B9C47F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关联连带场景：差距&gt;0.5者，一对一补训“场景延伸话术”（上班/休闲/出差）</w:t>
            </w:r>
          </w:p>
        </w:tc>
        <w:tc>
          <w:tcPr>
            <w:tcW w:w="3617" w:type="dxa"/>
            <w:vAlign w:val="center"/>
          </w:tcPr>
          <w:p w14:paraId="0A036D0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定位短板员工：差距&gt;0.5需搭配训练；差距&gt;1.0需跟班学习</w:t>
            </w:r>
          </w:p>
        </w:tc>
      </w:tr>
      <w:tr w14:paraId="26152A83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356" w:type="dxa"/>
            <w:vAlign w:val="center"/>
          </w:tcPr>
          <w:p w14:paraId="6E56E19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1A202C"/>
                <w:sz w:val="20"/>
              </w:rPr>
              <w:t>个人平均件单价</w:t>
            </w:r>
          </w:p>
        </w:tc>
        <w:tc>
          <w:tcPr>
            <w:tcW w:w="3047" w:type="dxa"/>
            <w:vAlign w:val="center"/>
          </w:tcPr>
          <w:p w14:paraId="7DE01D6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b/>
              </w:rPr>
            </w:pPr>
            <w:r>
              <w:rPr>
                <w:b/>
                <w:color w:val="1A202C"/>
                <w:sz w:val="20"/>
              </w:rPr>
              <w:t>个人销售额÷个人销售件数</w:t>
            </w:r>
          </w:p>
        </w:tc>
        <w:tc>
          <w:tcPr>
            <w:tcW w:w="3980" w:type="dxa"/>
            <w:vAlign w:val="center"/>
          </w:tcPr>
          <w:p w14:paraId="41CBFA32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b/>
              </w:rPr>
            </w:pPr>
            <w:r>
              <w:rPr>
                <w:b/>
                <w:color w:val="1A202C"/>
                <w:sz w:val="20"/>
              </w:rPr>
              <w:t>关联大单场景：件单价低者，检查是否只会卖单品，不懂“三件套搭配”</w:t>
            </w:r>
          </w:p>
        </w:tc>
        <w:tc>
          <w:tcPr>
            <w:tcW w:w="3617" w:type="dxa"/>
            <w:vAlign w:val="center"/>
          </w:tcPr>
          <w:p w14:paraId="65F83CF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color w:val="1A202C"/>
                <w:sz w:val="20"/>
              </w:rPr>
              <w:t>看“推高卖低”倾向：长期低于团队平均需补高值产品知识</w:t>
            </w:r>
          </w:p>
        </w:tc>
      </w:tr>
    </w:tbl>
    <w:p w14:paraId="4CBFE729">
      <w:pPr>
        <w:pStyle w:val="2"/>
      </w:pPr>
      <w:r>
        <w:t>三、KPI与话术手册的联动考核表</w:t>
      </w:r>
    </w:p>
    <w:tbl>
      <w:tblPr>
        <w:tblStyle w:val="3"/>
        <w:tblW w:w="12000" w:type="dxa"/>
        <w:jc w:val="center"/>
        <w:tblBorders>
          <w:top w:val="single" w:color="90CDF4" w:sz="8" w:space="0"/>
          <w:left w:val="single" w:color="90CDF4" w:sz="8" w:space="0"/>
          <w:bottom w:val="single" w:color="90CDF4" w:sz="8" w:space="0"/>
          <w:right w:val="single" w:color="90CDF4" w:sz="8" w:space="0"/>
          <w:insideH w:val="single" w:color="90CDF4" w:sz="4" w:space="0"/>
          <w:insideV w:val="single" w:color="90CDF4" w:sz="4" w:space="0"/>
        </w:tblBorders>
        <w:tblLayout w:type="autofit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73"/>
        <w:gridCol w:w="3016"/>
        <w:gridCol w:w="3458"/>
        <w:gridCol w:w="3553"/>
      </w:tblGrid>
      <w:tr w14:paraId="3124F996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tblHeader/>
          <w:jc w:val="center"/>
        </w:trPr>
        <w:tc>
          <w:tcPr>
            <w:tcW w:w="1973" w:type="dxa"/>
            <w:shd w:val="clear" w:color="auto" w:fill="EBF4FF"/>
            <w:vAlign w:val="center"/>
          </w:tcPr>
          <w:p w14:paraId="31B6C2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sz w:val="21"/>
              </w:rPr>
            </w:pPr>
            <w:r>
              <w:rPr>
                <w:rFonts w:ascii="Calibri" w:eastAsia="微软雅黑"/>
                <w:b/>
                <w:color w:val="2C5282"/>
                <w:sz w:val="21"/>
              </w:rPr>
              <w:t>手册场景</w:t>
            </w:r>
          </w:p>
        </w:tc>
        <w:tc>
          <w:tcPr>
            <w:tcW w:w="3016" w:type="dxa"/>
            <w:shd w:val="clear" w:color="auto" w:fill="EBF4FF"/>
            <w:vAlign w:val="center"/>
          </w:tcPr>
          <w:p w14:paraId="2B21200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sz w:val="21"/>
              </w:rPr>
            </w:pPr>
            <w:r>
              <w:rPr>
                <w:rFonts w:ascii="Calibri" w:eastAsia="微软雅黑"/>
                <w:b/>
                <w:color w:val="2C5282"/>
                <w:sz w:val="21"/>
              </w:rPr>
              <w:t>对应KPI指标</w:t>
            </w:r>
          </w:p>
        </w:tc>
        <w:tc>
          <w:tcPr>
            <w:tcW w:w="3458" w:type="dxa"/>
            <w:shd w:val="clear" w:color="auto" w:fill="EBF4FF"/>
            <w:vAlign w:val="center"/>
          </w:tcPr>
          <w:p w14:paraId="4976574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sz w:val="21"/>
              </w:rPr>
            </w:pPr>
            <w:r>
              <w:rPr>
                <w:rFonts w:ascii="Calibri" w:eastAsia="微软雅黑"/>
                <w:b/>
                <w:color w:val="2C5282"/>
                <w:sz w:val="21"/>
              </w:rPr>
              <w:t>晨会演练动作</w:t>
            </w:r>
          </w:p>
        </w:tc>
        <w:tc>
          <w:tcPr>
            <w:tcW w:w="3553" w:type="dxa"/>
            <w:shd w:val="clear" w:color="auto" w:fill="EBF4FF"/>
            <w:vAlign w:val="center"/>
          </w:tcPr>
          <w:p w14:paraId="3780AC0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sz w:val="21"/>
              </w:rPr>
            </w:pPr>
            <w:r>
              <w:rPr>
                <w:rFonts w:ascii="Calibri" w:eastAsia="微软雅黑"/>
                <w:b/>
                <w:color w:val="2C5282"/>
                <w:sz w:val="21"/>
              </w:rPr>
              <w:t>数据验证标准</w:t>
            </w:r>
          </w:p>
        </w:tc>
      </w:tr>
      <w:tr w14:paraId="268131B5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973" w:type="dxa"/>
            <w:vAlign w:val="center"/>
          </w:tcPr>
          <w:p w14:paraId="5E7220D5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场景一：充值话术</w:t>
            </w:r>
          </w:p>
        </w:tc>
        <w:tc>
          <w:tcPr>
            <w:tcW w:w="3016" w:type="dxa"/>
            <w:vAlign w:val="center"/>
          </w:tcPr>
          <w:p w14:paraId="63183AE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充值单数占比、充值金额占比</w:t>
            </w:r>
          </w:p>
        </w:tc>
        <w:tc>
          <w:tcPr>
            <w:tcW w:w="3458" w:type="dxa"/>
            <w:vAlign w:val="center"/>
          </w:tcPr>
          <w:p w14:paraId="7BBF78EF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每日晨会15分钟“算账对比法”角色扮演</w:t>
            </w:r>
          </w:p>
        </w:tc>
        <w:tc>
          <w:tcPr>
            <w:tcW w:w="3553" w:type="dxa"/>
            <w:vAlign w:val="center"/>
          </w:tcPr>
          <w:p w14:paraId="307A136E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bookmarkStart w:id="0" w:name="_GoBack"/>
            <w:bookmarkEnd w:id="0"/>
            <w:r>
              <w:rPr>
                <w:color w:val="1A202C"/>
                <w:sz w:val="20"/>
              </w:rPr>
              <w:t>目标：每5单至少1单储值，充值占比&gt;20%</w:t>
            </w:r>
          </w:p>
        </w:tc>
      </w:tr>
      <w:tr w14:paraId="5093236D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973" w:type="dxa"/>
            <w:vAlign w:val="center"/>
          </w:tcPr>
          <w:p w14:paraId="0B83356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场景二：大单话术</w:t>
            </w:r>
          </w:p>
        </w:tc>
        <w:tc>
          <w:tcPr>
            <w:tcW w:w="3016" w:type="dxa"/>
            <w:vAlign w:val="center"/>
          </w:tcPr>
          <w:p w14:paraId="1E71CA9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个人平均件单价、个人人效</w:t>
            </w:r>
          </w:p>
        </w:tc>
        <w:tc>
          <w:tcPr>
            <w:tcW w:w="3458" w:type="dxa"/>
            <w:vAlign w:val="center"/>
          </w:tcPr>
          <w:p w14:paraId="3E81395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演练“需求挖掘→全套搭配”全流程</w:t>
            </w:r>
          </w:p>
        </w:tc>
        <w:tc>
          <w:tcPr>
            <w:tcW w:w="3553" w:type="dxa"/>
            <w:vAlign w:val="center"/>
          </w:tcPr>
          <w:p w14:paraId="6041EA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目标：件单价提升15%，人效达标</w:t>
            </w:r>
          </w:p>
        </w:tc>
      </w:tr>
      <w:tr w14:paraId="37B472CC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973" w:type="dxa"/>
            <w:vAlign w:val="center"/>
          </w:tcPr>
          <w:p w14:paraId="7D768498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场景三：连带话术</w:t>
            </w:r>
          </w:p>
        </w:tc>
        <w:tc>
          <w:tcPr>
            <w:tcW w:w="3016" w:type="dxa"/>
            <w:vAlign w:val="center"/>
          </w:tcPr>
          <w:p w14:paraId="50966B24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连带率、连带率排名差距</w:t>
            </w:r>
          </w:p>
        </w:tc>
        <w:tc>
          <w:tcPr>
            <w:tcW w:w="3458" w:type="dxa"/>
            <w:vAlign w:val="center"/>
          </w:tcPr>
          <w:p w14:paraId="4CC21C4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互练“1+2法则”（1件主品+2件配饰）</w:t>
            </w:r>
          </w:p>
        </w:tc>
        <w:tc>
          <w:tcPr>
            <w:tcW w:w="3553" w:type="dxa"/>
            <w:vAlign w:val="center"/>
          </w:tcPr>
          <w:p w14:paraId="46057476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目标：连带率&gt;2.0，落后者差距&lt;0.5</w:t>
            </w:r>
          </w:p>
        </w:tc>
      </w:tr>
      <w:tr w14:paraId="29BFD4BC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973" w:type="dxa"/>
            <w:vAlign w:val="center"/>
          </w:tcPr>
          <w:p w14:paraId="695C8D9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场景四：VIP邀约</w:t>
            </w:r>
          </w:p>
        </w:tc>
        <w:tc>
          <w:tcPr>
            <w:tcW w:w="3016" w:type="dxa"/>
            <w:vAlign w:val="center"/>
          </w:tcPr>
          <w:p w14:paraId="20E1B3D7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会员销售占比、会员复购率</w:t>
            </w:r>
          </w:p>
        </w:tc>
        <w:tc>
          <w:tcPr>
            <w:tcW w:w="3458" w:type="dxa"/>
            <w:vAlign w:val="center"/>
          </w:tcPr>
          <w:p w14:paraId="46FF0ABD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检查“情感维系+专属优惠”话术执行</w:t>
            </w:r>
          </w:p>
        </w:tc>
        <w:tc>
          <w:tcPr>
            <w:tcW w:w="3553" w:type="dxa"/>
            <w:vAlign w:val="center"/>
          </w:tcPr>
          <w:p w14:paraId="72AAA393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目标：会员占比40-60%，复购率季度&gt;20%</w:t>
            </w:r>
          </w:p>
        </w:tc>
      </w:tr>
      <w:tr w14:paraId="3482932C">
        <w:tblPrEx>
          <w:tblBorders>
            <w:top w:val="single" w:color="90CDF4" w:sz="8" w:space="0"/>
            <w:left w:val="single" w:color="90CDF4" w:sz="8" w:space="0"/>
            <w:bottom w:val="single" w:color="90CDF4" w:sz="8" w:space="0"/>
            <w:right w:val="single" w:color="90CDF4" w:sz="8" w:space="0"/>
            <w:insideH w:val="single" w:color="90CDF4" w:sz="4" w:space="0"/>
            <w:insideV w:val="single" w:color="90CDF4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trHeight w:val="0" w:hRule="atLeast"/>
          <w:jc w:val="center"/>
        </w:trPr>
        <w:tc>
          <w:tcPr>
            <w:tcW w:w="1973" w:type="dxa"/>
            <w:vAlign w:val="center"/>
          </w:tcPr>
          <w:p w14:paraId="57936E50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场景五：异议处理</w:t>
            </w:r>
          </w:p>
        </w:tc>
        <w:tc>
          <w:tcPr>
            <w:tcW w:w="3016" w:type="dxa"/>
            <w:vAlign w:val="center"/>
          </w:tcPr>
          <w:p w14:paraId="432566DB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成交率</w:t>
            </w:r>
          </w:p>
        </w:tc>
        <w:tc>
          <w:tcPr>
            <w:tcW w:w="3458" w:type="dxa"/>
            <w:vAlign w:val="center"/>
          </w:tcPr>
          <w:p w14:paraId="0A72B229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</w:pPr>
            <w:r>
              <w:rPr>
                <w:color w:val="1A202C"/>
                <w:sz w:val="20"/>
              </w:rPr>
              <w:t>模拟“太贵了”“我再看看”等高频异议</w:t>
            </w:r>
          </w:p>
        </w:tc>
        <w:tc>
          <w:tcPr>
            <w:tcW w:w="3553" w:type="dxa"/>
            <w:vAlign w:val="center"/>
          </w:tcPr>
          <w:p w14:paraId="4E5B6D51">
            <w:pPr>
              <w:keepNext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color w:val="1A202C"/>
                <w:sz w:val="20"/>
              </w:rPr>
              <w:t>目标：成交率提升，试穿转化&gt;60%</w:t>
            </w:r>
          </w:p>
        </w:tc>
      </w:tr>
    </w:tbl>
    <w:p w14:paraId="088237A7"/>
    <w:sectPr>
      <w:headerReference r:id="rId5" w:type="default"/>
      <w:footerReference r:id="rId6" w:type="default"/>
      <w:pgSz w:w="16838" w:h="11906" w:orient="landscape"/>
      <w:pgMar w:top="1080" w:right="1080" w:bottom="10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DBB04"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07523">
    <w:pPr>
      <w:jc w:val="center"/>
    </w:pPr>
    <w:r>
      <w:rPr>
        <w:color w:val="718096"/>
        <w:sz w:val="18"/>
      </w:rPr>
      <w:t>门店KPI指标体系与话术场景关联手册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4E12D0"/>
    <w:rsid w:val="77A42F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/>
      <w:color w:val="1A202C"/>
      <w:sz w:val="20"/>
      <w:szCs w:val="22"/>
    </w:rPr>
  </w:style>
  <w:style w:type="paragraph" w:styleId="2">
    <w:name w:val="heading 1"/>
    <w:basedOn w:val="1"/>
    <w:qFormat/>
    <w:uiPriority w:val="0"/>
    <w:pPr>
      <w:keepNext/>
      <w:keepLines/>
      <w:spacing w:before="400" w:after="200"/>
      <w:outlineLvl w:val="0"/>
    </w:pPr>
    <w:rPr>
      <w:rFonts w:eastAsia="黑体"/>
      <w:b/>
      <w:color w:val="2C5282"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1653</Words>
  <Characters>1839</Characters>
  <TotalTime>2</TotalTime>
  <ScaleCrop>false</ScaleCrop>
  <LinksUpToDate>false</LinksUpToDate>
  <CharactersWithSpaces>1841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2026-03-18T15:41:32Z</dcterms:created>
  <dc:creator>Mechrevo</dc:creator>
  <cp:lastModifiedBy>big-eyed girl</cp:lastModifiedBy>
  <dcterms:modified xsi:type="dcterms:W3CDTF">2026-03-18T15:51:14Z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eyJoZGlkIjoiZjk4NTNhYmJiYjZmOTdlNDVhYjRlMTg1YWI3MWZkMGIiLCJ1c2VySWQiOiIyNjEwMjU0MTMifQ==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2DF716BB2B11497E9E69504C5A3B953F_13</vt:lpwstr>
  </property>
</Properties>
</file>