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eastAsia="黑体"/>
          <w:b/>
          <w:sz w:val="32"/>
        </w:rPr>
        <w:t>A 股多因子量化交易系统课程报告</w:t>
      </w:r>
    </w:p>
    <w:p>
      <w:pPr>
        <w:spacing w:before="160" w:after="120"/>
      </w:pPr>
      <w:r>
        <w:rPr>
          <w:rFonts w:ascii="Times New Roman" w:hAnsi="Times New Roman" w:eastAsia="黑体"/>
          <w:b/>
          <w:sz w:val="30"/>
        </w:rPr>
        <w:t>1. 摘要</w:t>
      </w:r>
    </w:p>
    <w:p>
      <w:pPr>
        <w:spacing w:line="360" w:lineRule="auto" w:after="120"/>
        <w:jc w:val="both"/>
      </w:pPr>
      <w:r>
        <w:rPr>
          <w:rFonts w:ascii="Times New Roman" w:hAnsi="Times New Roman" w:eastAsia="宋体"/>
          <w:b w:val="0"/>
          <w:sz w:val="24"/>
        </w:rPr>
        <w:t>本项目围绕课程要求，设计并实现了一套 A 股多因子纯多头量化交易系统。完整系统包括股票池过滤、排名系统、模拟交易规则、交易成本处理、最近 5 年与 Max 回测、参数敏感性测试、持仓与换手分析，以及对合理性、完整性、有效性和创造性的逐项讨论。</w:t>
      </w:r>
    </w:p>
    <w:p>
      <w:pPr>
        <w:spacing w:line="360" w:lineRule="auto" w:after="120"/>
        <w:jc w:val="both"/>
      </w:pPr>
      <w:r>
        <w:rPr>
          <w:rFonts w:ascii="Times New Roman" w:hAnsi="Times New Roman" w:eastAsia="宋体"/>
          <w:b w:val="0"/>
          <w:sz w:val="24"/>
        </w:rPr>
        <w:t>策略的核心思想是：先用流动性、市值、价格、ST、停牌和上市时间规则保证股票可交易，再用趋势、突破、质量和风险四类信号进行综合排名。趋势和突破模块用于识别中期强势股票，质量模块用于避免基本面较弱的公司，风险模块用于降低波动和回撤暴露。组合每季度调仓，持有综合得分最高的 30 只股票，满足课程要求中“多头头寸至少包含 25 个具有一定流动性的持仓”的约束。</w:t>
      </w:r>
    </w:p>
    <w:p>
      <w:pPr>
        <w:spacing w:line="360" w:lineRule="auto" w:after="120"/>
        <w:jc w:val="both"/>
      </w:pPr>
      <w:r>
        <w:rPr>
          <w:rFonts w:ascii="Times New Roman" w:hAnsi="Times New Roman" w:eastAsia="宋体"/>
          <w:b w:val="0"/>
          <w:sz w:val="24"/>
        </w:rPr>
        <w:t>最终策略在最近 5 年取得 10.74% 年化收益、-7.30% 最大回撤和 1.2014 的 Sharpe；在 Max 区间取得 7.49% 年化收益、-16.20% 最大回撤和 0.9206 的 Sharpe。结果说明该策略近 5 年风险调整收益较好，长样本中则更偏防守型，优势主要体现在回撤控制而不是高 Beta 进攻。</w:t>
      </w:r>
    </w:p>
    <w:p>
      <w:pPr>
        <w:jc w:val="center"/>
      </w:pPr>
      <w:r>
        <w:drawing>
          <wp:inline xmlns:a="http://schemas.openxmlformats.org/drawingml/2006/main" xmlns:pic="http://schemas.openxmlformats.org/drawingml/2006/picture">
            <wp:extent cx="5394960" cy="2697480"/>
            <wp:docPr id="1" name="Picture 1"/>
            <wp:cNvGraphicFramePr>
              <a:graphicFrameLocks noChangeAspect="1"/>
            </wp:cNvGraphicFramePr>
            <a:graphic>
              <a:graphicData uri="http://schemas.openxmlformats.org/drawingml/2006/picture">
                <pic:pic>
                  <pic:nvPicPr>
                    <pic:cNvPr id="0" name="nav_5y.png"/>
                    <pic:cNvPicPr/>
                  </pic:nvPicPr>
                  <pic:blipFill>
                    <a:blip r:embed="rId9"/>
                    <a:stretch>
                      <a:fillRect/>
                    </a:stretch>
                  </pic:blipFill>
                  <pic:spPr>
                    <a:xfrm>
                      <a:off x="0" y="0"/>
                      <a:ext cx="5394960" cy="2697480"/>
                    </a:xfrm>
                    <a:prstGeom prst="rect"/>
                  </pic:spPr>
                </pic:pic>
              </a:graphicData>
            </a:graphic>
          </wp:inline>
        </w:drawing>
      </w:r>
    </w:p>
    <w:p>
      <w:pPr>
        <w:spacing w:line="360" w:lineRule="auto" w:after="120"/>
        <w:jc w:val="center"/>
      </w:pPr>
      <w:r>
        <w:rPr>
          <w:rFonts w:ascii="Times New Roman" w:hAnsi="Times New Roman" w:eastAsia="宋体"/>
          <w:b w:val="0"/>
          <w:sz w:val="18"/>
        </w:rPr>
        <w:t>图 1  最近 5 年策略与基准净值曲线</w:t>
      </w:r>
    </w:p>
    <w:p>
      <w:pPr>
        <w:jc w:val="center"/>
      </w:pPr>
      <w:r>
        <w:drawing>
          <wp:inline xmlns:a="http://schemas.openxmlformats.org/drawingml/2006/main" xmlns:pic="http://schemas.openxmlformats.org/drawingml/2006/picture">
            <wp:extent cx="5394960" cy="2697480"/>
            <wp:docPr id="2" name="Picture 2"/>
            <wp:cNvGraphicFramePr>
              <a:graphicFrameLocks noChangeAspect="1"/>
            </wp:cNvGraphicFramePr>
            <a:graphic>
              <a:graphicData uri="http://schemas.openxmlformats.org/drawingml/2006/picture">
                <pic:pic>
                  <pic:nvPicPr>
                    <pic:cNvPr id="0" name="nav_max.png"/>
                    <pic:cNvPicPr/>
                  </pic:nvPicPr>
                  <pic:blipFill>
                    <a:blip r:embed="rId10"/>
                    <a:stretch>
                      <a:fillRect/>
                    </a:stretch>
                  </pic:blipFill>
                  <pic:spPr>
                    <a:xfrm>
                      <a:off x="0" y="0"/>
                      <a:ext cx="5394960" cy="2697480"/>
                    </a:xfrm>
                    <a:prstGeom prst="rect"/>
                  </pic:spPr>
                </pic:pic>
              </a:graphicData>
            </a:graphic>
          </wp:inline>
        </w:drawing>
      </w:r>
    </w:p>
    <w:p>
      <w:pPr>
        <w:spacing w:line="360" w:lineRule="auto" w:after="120"/>
        <w:jc w:val="center"/>
      </w:pPr>
      <w:r>
        <w:rPr>
          <w:rFonts w:ascii="Times New Roman" w:hAnsi="Times New Roman" w:eastAsia="宋体"/>
          <w:b w:val="0"/>
          <w:sz w:val="18"/>
        </w:rPr>
        <w:t>图 2  Max 策略与基准净值曲线</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tblGrid>
      <w:tr>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区间</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年化收益</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累计收益</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最大回撤</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Sharpe</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Sortino</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年化换手率</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最终净值</w:t>
            </w:r>
          </w:p>
        </w:tc>
      </w:tr>
      <w:tr>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最近 5 年</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10.74%</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62.64%</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-7.30%</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1.2014</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1.3036</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13.45</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1.6264</w:t>
            </w:r>
          </w:p>
        </w:tc>
      </w:tr>
      <w:tr>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Max</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7.49%</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342.26%</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-16.20%</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0.9206</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0.9560</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9.89</w:t>
            </w:r>
          </w:p>
        </w:tc>
        <w:tc>
          <w:tcPr>
            <w:tcW w:type="dxa" w:w="115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4.4226</w:t>
            </w:r>
          </w:p>
        </w:tc>
      </w:tr>
    </w:tbl>
    <w:p>
      <w:pPr>
        <w:spacing w:line="360" w:lineRule="auto" w:after="120"/>
        <w:jc w:val="center"/>
      </w:pPr>
      <w:r>
        <w:rPr>
          <w:rFonts w:ascii="Times New Roman" w:hAnsi="Times New Roman" w:eastAsia="宋体"/>
          <w:b w:val="0"/>
          <w:sz w:val="18"/>
        </w:rPr>
        <w:t>表 1  最终策略绩效汇总</w:t>
      </w:r>
    </w:p>
    <w:p>
      <w:pPr>
        <w:spacing w:before="160" w:after="120"/>
      </w:pPr>
      <w:r>
        <w:rPr>
          <w:rFonts w:ascii="Times New Roman" w:hAnsi="Times New Roman" w:eastAsia="黑体"/>
          <w:b/>
          <w:sz w:val="30"/>
        </w:rPr>
        <w:t>2. 数据来源与样本说明</w:t>
      </w:r>
    </w:p>
    <w:p>
      <w:pPr>
        <w:spacing w:line="360" w:lineRule="auto" w:after="120"/>
        <w:jc w:val="both"/>
      </w:pPr>
      <w:r>
        <w:rPr>
          <w:rFonts w:ascii="Times New Roman" w:hAnsi="Times New Roman" w:eastAsia="宋体"/>
          <w:b w:val="0"/>
          <w:sz w:val="24"/>
        </w:rPr>
        <w:t>本项目数据来源于米筐 RQData / RQAlpha Plus 账号下载整理的 A 股历史数据。数据覆盖股票日线行情、指数日线行情、交易日历、股票基础信息、ST 与停牌状态、财务与估值因子、复权信息、分红信息和无风险利率。回测过程中只使用已经整理好的静态数据，不在回测循环中动态请求在线行情或因子接口，以保证同一套输入数据下可以复现实验结果。</w:t>
      </w:r>
    </w:p>
    <w:p>
      <w:pPr>
        <w:spacing w:line="360" w:lineRule="auto" w:after="120"/>
        <w:jc w:val="both"/>
      </w:pPr>
      <w:r>
        <w:rPr>
          <w:rFonts w:ascii="Times New Roman" w:hAnsi="Times New Roman" w:eastAsia="宋体"/>
          <w:b w:val="0"/>
          <w:sz w:val="24"/>
        </w:rPr>
        <w:t>股票日线行情用于计算收盘价、成交额、动量、均线相对强度、波动率、下行波动率和历史回撤。指数行情用于构建中证 800 基准，并计算市场状态过滤指标。股票基础信息用于识别普通股、上市日期、行业分类和退市状态。ST 与停牌数据用于剔除交易状态异常的股票。财务与估值因子用于构建质量模块和市值过滤。无风险利率用于现金仓位或低风险仓位的收益估算。</w:t>
      </w:r>
    </w:p>
    <w:p>
      <w:pPr>
        <w:spacing w:line="360" w:lineRule="auto" w:after="120"/>
        <w:jc w:val="both"/>
      </w:pPr>
      <w:r>
        <w:rPr>
          <w:rFonts w:ascii="Times New Roman" w:hAnsi="Times New Roman" w:eastAsia="宋体"/>
          <w:b w:val="0"/>
          <w:sz w:val="24"/>
        </w:rPr>
        <w:t>由于课程原始参数以美股环境为背景，而本项目使用 A 股市场数据，因此对部分口径做了等价转换。价格约束保留“收盘价大于 2”的精神；市值和成交量约束在 A 股中转换为人民币市值和成交额过滤；交易成本采用比例成本进入净值。这样做的目的不是改变课程要求，而是在 A 股市场中保持“有流动性、可交易、不会被极端小市值股票主导”的核心约束。</w:t>
      </w:r>
    </w:p>
    <w:p>
      <w:pPr>
        <w:spacing w:before="160" w:after="120"/>
      </w:pPr>
      <w:r>
        <w:rPr>
          <w:rFonts w:ascii="Times New Roman" w:hAnsi="Times New Roman" w:eastAsia="黑体"/>
          <w:b/>
          <w:sz w:val="30"/>
        </w:rPr>
        <w:t>3. 策略设计原则</w:t>
      </w:r>
    </w:p>
    <w:p>
      <w:pPr>
        <w:spacing w:line="360" w:lineRule="auto" w:after="120"/>
        <w:jc w:val="both"/>
      </w:pPr>
      <w:r>
        <w:rPr>
          <w:rFonts w:ascii="Times New Roman" w:hAnsi="Times New Roman" w:eastAsia="宋体"/>
          <w:b w:val="0"/>
          <w:sz w:val="24"/>
        </w:rPr>
        <w:t>第一，策略先解决可交易性问题。A 股市场存在 ST、停牌、上市时间较短、流动性不足等问题。如果不先过滤这些股票，回测结果容易被不可成交或难以成交的标的扭曲。因此，本项目先从全 A 股中剔除交易状态异常、流动性不足和历史数据不足的股票。</w:t>
      </w:r>
    </w:p>
    <w:p>
      <w:pPr>
        <w:spacing w:line="360" w:lineRule="auto" w:after="120"/>
        <w:jc w:val="both"/>
      </w:pPr>
      <w:r>
        <w:rPr>
          <w:rFonts w:ascii="Times New Roman" w:hAnsi="Times New Roman" w:eastAsia="宋体"/>
          <w:b w:val="0"/>
          <w:sz w:val="24"/>
        </w:rPr>
        <w:t>第二，策略同时使用价格行为和基本面质量。仅使用基本面因子时，组合可能长期持有低估但趋势持续走弱的股票；仅使用动量或突破时，组合又容易买入基本面较弱、波动较大的股票。本项目将趋势、突破、质量和风险合成，是为了让不同信号互相约束。</w:t>
      </w:r>
    </w:p>
    <w:p>
      <w:pPr>
        <w:spacing w:line="360" w:lineRule="auto" w:after="120"/>
        <w:jc w:val="both"/>
      </w:pPr>
      <w:r>
        <w:rPr>
          <w:rFonts w:ascii="Times New Roman" w:hAnsi="Times New Roman" w:eastAsia="宋体"/>
          <w:b w:val="0"/>
          <w:sz w:val="24"/>
        </w:rPr>
        <w:t>第三，策略重视风险预算。A 股市场牛熊切换明显，若长期维持高股票暴露，可能在熊市中出现较大回撤。因此策略加入中证 800 MA240 市场过滤、8%目标波动率和逆波动率权重，以降低组合在高波动阶段的风险敞口。</w:t>
      </w:r>
    </w:p>
    <w:p>
      <w:pPr>
        <w:spacing w:line="360" w:lineRule="auto" w:after="120"/>
        <w:jc w:val="both"/>
      </w:pPr>
      <w:r>
        <w:rPr>
          <w:rFonts w:ascii="Times New Roman" w:hAnsi="Times New Roman" w:eastAsia="宋体"/>
          <w:b w:val="0"/>
          <w:sz w:val="24"/>
        </w:rPr>
        <w:t>第四，策略保留负面结果和局限性。敏感性测试显示，高目标波动率可以提高短期收益，但会明显扩大 Max 回撤；卖出缓冲过宽会让组合保留过多失效股票。因此最终参数并不是单纯追求最高收益，而是在收益、回撤、Sharpe 和换手成本之间取平衡。</w:t>
      </w:r>
    </w:p>
    <w:p>
      <w:pPr>
        <w:spacing w:before="160" w:after="120"/>
      </w:pPr>
      <w:r>
        <w:rPr>
          <w:rFonts w:ascii="Times New Roman" w:hAnsi="Times New Roman" w:eastAsia="黑体"/>
          <w:b/>
          <w:sz w:val="30"/>
        </w:rPr>
        <w:t>4. 排名系统</w:t>
      </w:r>
    </w:p>
    <w:p>
      <w:pPr>
        <w:spacing w:line="360" w:lineRule="auto" w:after="120"/>
        <w:jc w:val="both"/>
      </w:pPr>
      <w:r>
        <w:rPr>
          <w:rFonts w:ascii="Times New Roman" w:hAnsi="Times New Roman" w:eastAsia="宋体"/>
          <w:b w:val="0"/>
          <w:sz w:val="24"/>
        </w:rPr>
        <w:t>排名系统是交易系统的核心。每个调仓日，策略先在股票池中计算所有候选股票的子因子值，再对每个子因子进行横截面去极值和标准化处理。去极值用于降低极端值对排名的影响，标准化用于把不同量纲的指标转换到可比较的分布上。随后，子因子先合成为模块得分，模块得分再按照固定权重合成为综合分。</w:t>
      </w:r>
    </w:p>
    <w:p>
      <w:pPr>
        <w:spacing w:line="360" w:lineRule="auto" w:after="120"/>
        <w:jc w:val="both"/>
      </w:pPr>
      <w:r>
        <w:rPr>
          <w:rFonts w:ascii="Times New Roman" w:hAnsi="Times New Roman" w:eastAsia="宋体"/>
          <w:b w:val="0"/>
          <w:sz w:val="24"/>
        </w:rPr>
        <w:t>综合分公式为：</w:t>
      </w:r>
    </w:p>
    <w:p>
      <w:pPr>
        <w:spacing w:line="360" w:lineRule="auto" w:after="120"/>
        <w:jc w:val="both"/>
      </w:pPr>
      <w:r>
        <w:rPr>
          <w:rFonts w:ascii="Times New Roman" w:hAnsi="Times New Roman" w:eastAsia="宋体"/>
          <w:b w:val="0"/>
          <w:sz w:val="21"/>
        </w:rPr>
        <w:t>Score = 45% * Trend</w:t>
      </w:r>
    </w:p>
    <w:p>
      <w:pPr>
        <w:spacing w:line="360" w:lineRule="auto" w:after="120"/>
        <w:jc w:val="both"/>
      </w:pPr>
      <w:r>
        <w:rPr>
          <w:rFonts w:ascii="Times New Roman" w:hAnsi="Times New Roman" w:eastAsia="宋体"/>
          <w:b w:val="0"/>
          <w:sz w:val="21"/>
        </w:rPr>
        <w:t xml:space="preserve">      + 20% * Breakout</w:t>
      </w:r>
    </w:p>
    <w:p>
      <w:pPr>
        <w:spacing w:line="360" w:lineRule="auto" w:after="120"/>
        <w:jc w:val="both"/>
      </w:pPr>
      <w:r>
        <w:rPr>
          <w:rFonts w:ascii="Times New Roman" w:hAnsi="Times New Roman" w:eastAsia="宋体"/>
          <w:b w:val="0"/>
          <w:sz w:val="21"/>
        </w:rPr>
        <w:t xml:space="preserve">      + 20% * Quality</w:t>
      </w:r>
    </w:p>
    <w:p>
      <w:pPr>
        <w:spacing w:line="360" w:lineRule="auto" w:after="120"/>
        <w:jc w:val="both"/>
      </w:pPr>
      <w:r>
        <w:rPr>
          <w:rFonts w:ascii="Times New Roman" w:hAnsi="Times New Roman" w:eastAsia="宋体"/>
          <w:b w:val="0"/>
          <w:sz w:val="21"/>
        </w:rPr>
        <w:t xml:space="preserve">      + 15% * Risk</w:t>
      </w:r>
    </w:p>
    <w:p>
      <w:pPr>
        <w:spacing w:line="360" w:lineRule="auto" w:after="120"/>
        <w:jc w:val="both"/>
      </w:pPr>
      <w:r>
        <w:rPr>
          <w:rFonts w:ascii="Times New Roman" w:hAnsi="Times New Roman" w:eastAsia="宋体"/>
          <w:b w:val="0"/>
          <w:sz w:val="24"/>
        </w:rPr>
        <w:t>趋势模块权重最高，因为本策略认为 A 股阶段性趋势和资金偏好对中期收益有较强解释力。趋势模块包括 63 日、126 日和 252 日动量，以及 60 日和 120 日均线相对强度。短期动量用于识别近一个季度的强势，中期动量用于识别半年维度的趋势延续，长期动量用于过滤已经形成持续强势的股票；均线相对强度则用于判断价格是否处于中期趋势上方。</w:t>
      </w:r>
    </w:p>
    <w:p>
      <w:pPr>
        <w:spacing w:line="360" w:lineRule="auto" w:after="120"/>
        <w:jc w:val="both"/>
      </w:pPr>
      <w:r>
        <w:rPr>
          <w:rFonts w:ascii="Times New Roman" w:hAnsi="Times New Roman" w:eastAsia="宋体"/>
          <w:b w:val="0"/>
          <w:sz w:val="24"/>
        </w:rPr>
        <w:t>突破模块用于补充趋势模块。趋势模块回答“过去一段时间涨得好不好”，突破模块回答“当前是否接近阶段高点、成交活跃度是否同步改善”。如果股票接近 252 日高点，同时 20 日成交额相对 60 日成交额上升，说明价格和资金参与度同时改善，这类股票更可能处于市场关注度提升阶段。</w:t>
      </w:r>
    </w:p>
    <w:p>
      <w:pPr>
        <w:spacing w:line="360" w:lineRule="auto" w:after="120"/>
        <w:jc w:val="both"/>
      </w:pPr>
      <w:r>
        <w:rPr>
          <w:rFonts w:ascii="Times New Roman" w:hAnsi="Times New Roman" w:eastAsia="宋体"/>
          <w:b w:val="0"/>
          <w:sz w:val="24"/>
        </w:rPr>
        <w:t>质量模块用于提供基本面约束。ROE 和 ROA 衡量盈利能力和资产使用效率，毛利率反映商业模式和产品竞争力，经营现金流/债务衡量利润质量和偿债能力。质量模块的作用不是单独寻找价值股，而是避免趋势组合过度暴露于基本面较弱的公司。</w:t>
      </w:r>
    </w:p>
    <w:p>
      <w:pPr>
        <w:spacing w:line="360" w:lineRule="auto" w:after="120"/>
        <w:jc w:val="both"/>
      </w:pPr>
      <w:r>
        <w:rPr>
          <w:rFonts w:ascii="Times New Roman" w:hAnsi="Times New Roman" w:eastAsia="宋体"/>
          <w:b w:val="0"/>
          <w:sz w:val="24"/>
        </w:rPr>
        <w:t>风险模块用于降低组合在高波动股票上的暴露。120 日波动率衡量整体价格波动，下行波动率更关注负收益波动，252 日回撤衡量股票是否已经从阶段高点明显走弱。风险模块得分越高，表示股票的波动和回撤形态越可控。</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模块</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权重</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因子</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方向</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定义</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经济含义</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63日动量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过去约3个月收益率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捕捉中期趋势延续</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126日动量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过去约6个月收益率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识别较稳定的阶段强势</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252日动量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过去约12个月收益率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捕捉长期趋势与资金偏好</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MA60/MA120相对强度</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收盘价相对均线位置</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过滤弱势股票</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突破</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252日高点接近度</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当前价格相对阶段高点位置</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价格接近新高代表趋势确认</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突破</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20/60日成交额趋势</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短期成交额相对中期成交额</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成交活跃度改善代表资金关注</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ROE、ROA</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净资产收益率、总资产收益率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衡量盈利能力和资产效率</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毛利率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毛利占营业收入比例</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反映商业模式质量</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质量</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经营现金流/债务</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越高越好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现金流相对债务规模</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反映利润质量和偿债能力</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风险</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120日波动率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越低越好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过去120日收益率标准差</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降低高波动暴露</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风险</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120日下行波动率</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越低越好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过去120日负收益波动</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控制下跌方向风险</w:t>
            </w:r>
          </w:p>
        </w:tc>
      </w:tr>
      <w:tr>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风险</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15%</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252日回撤</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回撤越小越好</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相对阶段高点回撤</w:t>
            </w:r>
          </w:p>
        </w:tc>
        <w:tc>
          <w:tcPr>
            <w:tcW w:type="dxa" w:w="1536"/>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避免趋势破坏股票</w:t>
            </w:r>
          </w:p>
        </w:tc>
      </w:tr>
    </w:tbl>
    <w:p>
      <w:pPr>
        <w:spacing w:line="360" w:lineRule="auto" w:after="120"/>
        <w:jc w:val="center"/>
      </w:pPr>
      <w:r>
        <w:rPr>
          <w:rFonts w:ascii="Times New Roman" w:hAnsi="Times New Roman" w:eastAsia="宋体"/>
          <w:b w:val="0"/>
          <w:sz w:val="18"/>
        </w:rPr>
        <w:t>表 2  排名系统结构</w:t>
      </w:r>
    </w:p>
    <w:p>
      <w:pPr>
        <w:spacing w:before="160" w:after="120"/>
      </w:pPr>
      <w:r>
        <w:rPr>
          <w:rFonts w:ascii="Times New Roman" w:hAnsi="Times New Roman" w:eastAsia="黑体"/>
          <w:b/>
          <w:sz w:val="30"/>
        </w:rPr>
        <w:t>5. 模拟交易设置</w:t>
      </w:r>
    </w:p>
    <w:p>
      <w:pPr>
        <w:spacing w:line="360" w:lineRule="auto" w:after="120"/>
        <w:jc w:val="both"/>
      </w:pPr>
      <w:r>
        <w:rPr>
          <w:rFonts w:ascii="Times New Roman" w:hAnsi="Times New Roman" w:eastAsia="宋体"/>
          <w:b w:val="0"/>
          <w:sz w:val="24"/>
        </w:rPr>
        <w:t>模拟交易从股票池构建开始。每个调仓日，策略从全 A 股普通股中筛选候选股票，剔除 ST、停牌、金融行业、上市时间不足 273 个交易日、收盘价低于 2、20 日平均成交额不足和市值过小的股票。上市时间要求用于保证动量、波动率和回撤指标有足够历史窗口；流动性过滤用于降低无法成交或成交冲击过大的风险；金融行业剔除则是因为其资产负债结构和财务指标含义与一般企业差异较大。</w:t>
      </w:r>
    </w:p>
    <w:p>
      <w:pPr>
        <w:spacing w:line="360" w:lineRule="auto" w:after="120"/>
        <w:jc w:val="both"/>
      </w:pPr>
      <w:r>
        <w:rPr>
          <w:rFonts w:ascii="Times New Roman" w:hAnsi="Times New Roman" w:eastAsia="宋体"/>
          <w:b w:val="0"/>
          <w:sz w:val="24"/>
        </w:rPr>
        <w:t>买入规则是：在每个季度调仓日，对候选股票计算综合分并排序，买入排名靠前的股票，使组合目标持仓数为 30 只。选择 30 只而不是更少，是为了满足课程要求中至少 25 只多头持仓的约束，同时保留一定分散度。</w:t>
      </w:r>
    </w:p>
    <w:p>
      <w:pPr>
        <w:spacing w:line="360" w:lineRule="auto" w:after="120"/>
        <w:jc w:val="both"/>
      </w:pPr>
      <w:r>
        <w:rPr>
          <w:rFonts w:ascii="Times New Roman" w:hAnsi="Times New Roman" w:eastAsia="宋体"/>
          <w:b w:val="0"/>
          <w:sz w:val="24"/>
        </w:rPr>
        <w:t>卖出规则是：若原持仓股票仍在综合排名前 60 名，则继续持有；若跌出前 60 名，或变为 ST、停牌后复牌且不再满足股票池条件，则在可交易调仓点卖出。60 名卖出缓冲可以减少排名轻微波动造成的频繁换仓。若股票停牌，策略不假设可以立即卖出，而是在复牌后的下一次可交易调仓点重新检查。</w:t>
      </w:r>
    </w:p>
    <w:p>
      <w:pPr>
        <w:spacing w:line="360" w:lineRule="auto" w:after="120"/>
        <w:jc w:val="both"/>
      </w:pPr>
      <w:r>
        <w:rPr>
          <w:rFonts w:ascii="Times New Roman" w:hAnsi="Times New Roman" w:eastAsia="宋体"/>
          <w:b w:val="0"/>
          <w:sz w:val="24"/>
        </w:rPr>
        <w:t>权重规则是逆波动率权重，即 120 日波动率越低的股票获得更高权重。相比等权，逆波动率权重可以降低单个高波动股票对组合净值的冲击。组合层面使用中证 800 指数 MA240 作为市场状态过滤。当市场低于长期均线时，策略降低股票风险暴露。组合目标波动率设为 8%，在高波动阶段自动降低仓位。</w:t>
      </w:r>
    </w:p>
    <w:p>
      <w:pPr>
        <w:spacing w:line="360" w:lineRule="auto" w:after="120"/>
        <w:jc w:val="both"/>
      </w:pPr>
      <w:r>
        <w:rPr>
          <w:rFonts w:ascii="Times New Roman" w:hAnsi="Times New Roman" w:eastAsia="宋体"/>
          <w:b w:val="0"/>
          <w:sz w:val="24"/>
        </w:rPr>
        <w:t>个股层面还加入回撤惩罚。如果股票相对过去 252 日高点回撤超过 25%，策略不立即强制清仓，而是在排名中施加分数惩罚。这样做可以避免组合因日内止损而跌破 25 只持仓，同时降低明显弱势股票进入组合的概率。</w:t>
      </w:r>
    </w:p>
    <w:tbl>
      <w:tblPr>
        <w:tblW w:type="auto" w:w="0"/>
        <w:jc w:val="center"/>
        <w:tblLayout w:type="autofit"/>
        <w:tblLook w:firstColumn="1" w:firstRow="1" w:lastColumn="0" w:lastRow="0" w:noHBand="0" w:noVBand="1" w:val="04A0"/>
      </w:tblPr>
      <w:tblGrid>
        <w:gridCol w:w="922"/>
        <w:gridCol w:w="922"/>
        <w:gridCol w:w="922"/>
        <w:gridCol w:w="922"/>
        <w:gridCol w:w="922"/>
        <w:gridCol w:w="922"/>
        <w:gridCol w:w="922"/>
        <w:gridCol w:w="922"/>
        <w:gridCol w:w="922"/>
        <w:gridCol w:w="922"/>
      </w:tblGrid>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日期</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股票代码</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行业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排名</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权重</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总分</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趋势</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突破</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质量</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风险</w:t>
            </w:r>
          </w:p>
        </w:tc>
      </w:tr>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2026-06-16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300408.XSHE</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计算机、通信和其他电子设备制造业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0.0090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2.3560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3.5480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2.2395</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1.2630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0.3927</w:t>
            </w:r>
          </w:p>
        </w:tc>
      </w:tr>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2026-06-16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600183.XSHG</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计算机、通信和其他电子设备制造业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0.0098</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2.3220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3.6153</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1.8906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1.1627</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0.5633</w:t>
            </w:r>
          </w:p>
        </w:tc>
      </w:tr>
      <w:tr>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2026-06-16</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301377.XSHE</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金属制品业</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0.0079</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2.2645</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3.6688</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1.8095</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1.1910</w:t>
            </w:r>
          </w:p>
        </w:tc>
        <w:tc>
          <w:tcPr>
            <w:tcW w:type="dxa" w:w="92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0.0891</w:t>
            </w:r>
          </w:p>
        </w:tc>
      </w:tr>
    </w:tbl>
    <w:p>
      <w:pPr>
        <w:spacing w:line="360" w:lineRule="auto" w:after="120"/>
        <w:jc w:val="center"/>
      </w:pPr>
      <w:r>
        <w:rPr>
          <w:rFonts w:ascii="Times New Roman" w:hAnsi="Times New Roman" w:eastAsia="宋体"/>
          <w:b w:val="0"/>
          <w:sz w:val="18"/>
        </w:rPr>
        <w:t>表 3  样例调仓日持仓明细</w:t>
      </w:r>
    </w:p>
    <w:p>
      <w:pPr>
        <w:spacing w:before="160" w:after="120"/>
      </w:pPr>
      <w:r>
        <w:rPr>
          <w:rFonts w:ascii="Times New Roman" w:hAnsi="Times New Roman" w:eastAsia="黑体"/>
          <w:b/>
          <w:sz w:val="30"/>
        </w:rPr>
        <w:t>6. 持仓与交易过程分析</w:t>
      </w:r>
    </w:p>
    <w:p>
      <w:pPr>
        <w:spacing w:line="360" w:lineRule="auto" w:after="120"/>
        <w:jc w:val="both"/>
      </w:pPr>
      <w:r>
        <w:rPr>
          <w:rFonts w:ascii="Times New Roman" w:hAnsi="Times New Roman" w:eastAsia="宋体"/>
          <w:b w:val="0"/>
          <w:sz w:val="24"/>
        </w:rPr>
        <w:t>在最近 5 年和 Max 两个区间中，组合持仓数均稳定为 30 只，没有低于 25 只的交易日。这个结果来自三层设计：第一，买入规则固定选择前 30 名；第二，个股回撤只作为排名惩罚，不作为日内强制清仓；第三，停牌股票不会被假设为可以立即卖出，而是在复牌后重新检查。</w:t>
      </w:r>
    </w:p>
    <w:p>
      <w:pPr>
        <w:spacing w:line="360" w:lineRule="auto" w:after="120"/>
        <w:jc w:val="both"/>
      </w:pPr>
      <w:r>
        <w:rPr>
          <w:rFonts w:ascii="Times New Roman" w:hAnsi="Times New Roman" w:eastAsia="宋体"/>
          <w:b w:val="0"/>
          <w:sz w:val="24"/>
        </w:rPr>
        <w:t>持仓行业分布会随着市场环境变化而变化。样例调仓日中，组合前几名包括计算机通信、金属制品、非金属矿物制品、专用设备、通用设备等行业。这说明策略不是固定持有某一个行业，而是根据趋势、突破、质量和风险综合得分进行动态选择。但由于策略没有做行业中性约束，行业暴露仍然是需要在结果解释中承认的风险来源。</w:t>
      </w:r>
    </w:p>
    <w:p>
      <w:pPr>
        <w:spacing w:line="360" w:lineRule="auto" w:after="120"/>
        <w:jc w:val="both"/>
      </w:pPr>
      <w:r>
        <w:rPr>
          <w:rFonts w:ascii="Times New Roman" w:hAnsi="Times New Roman" w:eastAsia="宋体"/>
          <w:b w:val="0"/>
          <w:sz w:val="24"/>
        </w:rPr>
        <w:t>换手率方面，最近 5 年年化换手率为 13.45，Max 年化换手率为 9.89。交易成本已经从净值中扣除，最近 5 年成本拖累为 9.63%，Max 成本拖累为 30.55%。这说明策略虽然通过季度调仓和卖出缓冲降低了噪音交易，但长期换手成本仍然不可忽视。</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区间</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最小持仓数</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中位数持仓数</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最大持仓数</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低于25只的交易日</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最近 5 年</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Max</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w:t>
            </w:r>
          </w:p>
        </w:tc>
      </w:tr>
    </w:tbl>
    <w:p>
      <w:pPr>
        <w:spacing w:line="360" w:lineRule="auto" w:after="120"/>
        <w:jc w:val="center"/>
      </w:pPr>
      <w:r>
        <w:rPr>
          <w:rFonts w:ascii="Times New Roman" w:hAnsi="Times New Roman" w:eastAsia="宋体"/>
          <w:b w:val="0"/>
          <w:sz w:val="18"/>
        </w:rPr>
        <w:t>表 4  持仓数量统计</w:t>
      </w:r>
    </w:p>
    <w:tbl>
      <w:tblPr>
        <w:tblW w:type="auto" w:w="0"/>
        <w:jc w:val="center"/>
        <w:tblLayout w:type="autofit"/>
        <w:tblLook w:firstColumn="1" w:firstRow="1" w:lastColumn="0" w:lastRow="0" w:noHBand="0" w:noVBand="1" w:val="04A0"/>
      </w:tblPr>
      <w:tblGrid>
        <w:gridCol w:w="3072"/>
        <w:gridCol w:w="3072"/>
        <w:gridCol w:w="3072"/>
      </w:tblGrid>
      <w:tr>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区间</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年化换手率</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交易成本拖累</w:t>
            </w:r>
          </w:p>
        </w:tc>
      </w:tr>
      <w:tr>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最近 5 年</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13.45</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9.63%</w:t>
            </w:r>
          </w:p>
        </w:tc>
      </w:tr>
      <w:tr>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Max</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9.89</w:t>
            </w:r>
          </w:p>
        </w:tc>
        <w:tc>
          <w:tcPr>
            <w:tcW w:type="dxa" w:w="3072"/>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30.55%</w:t>
            </w:r>
          </w:p>
        </w:tc>
      </w:tr>
    </w:tbl>
    <w:p>
      <w:pPr>
        <w:spacing w:line="360" w:lineRule="auto" w:after="120"/>
        <w:jc w:val="center"/>
      </w:pPr>
      <w:r>
        <w:rPr>
          <w:rFonts w:ascii="Times New Roman" w:hAnsi="Times New Roman" w:eastAsia="宋体"/>
          <w:b w:val="0"/>
          <w:sz w:val="18"/>
        </w:rPr>
        <w:t>表 5  交易成本与换手率</w:t>
      </w:r>
    </w:p>
    <w:p>
      <w:pPr>
        <w:spacing w:before="160" w:after="120"/>
      </w:pPr>
      <w:r>
        <w:rPr>
          <w:rFonts w:ascii="Times New Roman" w:hAnsi="Times New Roman" w:eastAsia="黑体"/>
          <w:b/>
          <w:sz w:val="30"/>
        </w:rPr>
        <w:t>7. 回测结果</w:t>
      </w:r>
    </w:p>
    <w:p>
      <w:pPr>
        <w:spacing w:line="360" w:lineRule="auto" w:after="120"/>
        <w:jc w:val="both"/>
      </w:pPr>
      <w:r>
        <w:rPr>
          <w:rFonts w:ascii="Times New Roman" w:hAnsi="Times New Roman" w:eastAsia="宋体"/>
          <w:b w:val="0"/>
          <w:sz w:val="24"/>
        </w:rPr>
        <w:t>最近 5 年回测区间为 2021-06-30 至 2026-06-16。策略最终净值为 1.6264，年化收益为 10.74%，最大回撤为 -7.30%，Sharpe 为 1.2014。同期基准最终净值为 1.0057。该结果说明，在近 5 年样本中，策略不仅取得正收益，而且在回撤控制上明显优于基准。</w:t>
      </w:r>
    </w:p>
    <w:p>
      <w:pPr>
        <w:spacing w:line="360" w:lineRule="auto" w:after="120"/>
        <w:jc w:val="both"/>
      </w:pPr>
      <w:r>
        <w:rPr>
          <w:rFonts w:ascii="Times New Roman" w:hAnsi="Times New Roman" w:eastAsia="宋体"/>
          <w:b w:val="0"/>
          <w:sz w:val="24"/>
        </w:rPr>
        <w:t>Max 回测区间为 2005-01-31 至 2026-06-16。策略最终净值为 4.4226，年化收益为 7.49%，最大回撤为 -16.20%，Sharpe 为 0.9206。同期基准最终净值为 5.8247。长样本中，策略没有跑赢基准最终净值，但最大回撤和 Beta 明显较低，因此更像低回撤防守型策略，而不是高 Beta 指数增强策略。</w:t>
      </w:r>
    </w:p>
    <w:p>
      <w:pPr>
        <w:jc w:val="center"/>
      </w:pPr>
      <w:r>
        <w:drawing>
          <wp:inline xmlns:a="http://schemas.openxmlformats.org/drawingml/2006/main" xmlns:pic="http://schemas.openxmlformats.org/drawingml/2006/picture">
            <wp:extent cx="5394960" cy="2157984"/>
            <wp:docPr id="3" name="Picture 3"/>
            <wp:cNvGraphicFramePr>
              <a:graphicFrameLocks noChangeAspect="1"/>
            </wp:cNvGraphicFramePr>
            <a:graphic>
              <a:graphicData uri="http://schemas.openxmlformats.org/drawingml/2006/picture">
                <pic:pic>
                  <pic:nvPicPr>
                    <pic:cNvPr id="0" name="drawdown_5y.png"/>
                    <pic:cNvPicPr/>
                  </pic:nvPicPr>
                  <pic:blipFill>
                    <a:blip r:embed="rId11"/>
                    <a:stretch>
                      <a:fillRect/>
                    </a:stretch>
                  </pic:blipFill>
                  <pic:spPr>
                    <a:xfrm>
                      <a:off x="0" y="0"/>
                      <a:ext cx="5394960" cy="2157984"/>
                    </a:xfrm>
                    <a:prstGeom prst="rect"/>
                  </pic:spPr>
                </pic:pic>
              </a:graphicData>
            </a:graphic>
          </wp:inline>
        </w:drawing>
      </w:r>
    </w:p>
    <w:p>
      <w:pPr>
        <w:spacing w:line="360" w:lineRule="auto" w:after="120"/>
        <w:jc w:val="center"/>
      </w:pPr>
      <w:r>
        <w:rPr>
          <w:rFonts w:ascii="Times New Roman" w:hAnsi="Times New Roman" w:eastAsia="宋体"/>
          <w:b w:val="0"/>
          <w:sz w:val="18"/>
        </w:rPr>
        <w:t>图 3  最近 5 年策略回撤曲线</w:t>
      </w:r>
    </w:p>
    <w:p>
      <w:pPr>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drawdown_max.png"/>
                    <pic:cNvPicPr/>
                  </pic:nvPicPr>
                  <pic:blipFill>
                    <a:blip r:embed="rId12"/>
                    <a:stretch>
                      <a:fillRect/>
                    </a:stretch>
                  </pic:blipFill>
                  <pic:spPr>
                    <a:xfrm>
                      <a:off x="0" y="0"/>
                      <a:ext cx="5394960" cy="2157984"/>
                    </a:xfrm>
                    <a:prstGeom prst="rect"/>
                  </pic:spPr>
                </pic:pic>
              </a:graphicData>
            </a:graphic>
          </wp:inline>
        </w:drawing>
      </w:r>
    </w:p>
    <w:p>
      <w:pPr>
        <w:spacing w:line="360" w:lineRule="auto" w:after="120"/>
        <w:jc w:val="center"/>
      </w:pPr>
      <w:r>
        <w:rPr>
          <w:rFonts w:ascii="Times New Roman" w:hAnsi="Times New Roman" w:eastAsia="宋体"/>
          <w:b w:val="0"/>
          <w:sz w:val="18"/>
        </w:rPr>
        <w:t>图 4  Max 策略回撤曲线</w:t>
      </w:r>
    </w:p>
    <w:p>
      <w:pPr>
        <w:jc w:val="center"/>
      </w:pPr>
      <w:r>
        <w:drawing>
          <wp:inline xmlns:a="http://schemas.openxmlformats.org/drawingml/2006/main" xmlns:pic="http://schemas.openxmlformats.org/drawingml/2006/picture">
            <wp:extent cx="5394960" cy="2427732"/>
            <wp:docPr id="5" name="Picture 5"/>
            <wp:cNvGraphicFramePr>
              <a:graphicFrameLocks noChangeAspect="1"/>
            </wp:cNvGraphicFramePr>
            <a:graphic>
              <a:graphicData uri="http://schemas.openxmlformats.org/drawingml/2006/picture">
                <pic:pic>
                  <pic:nvPicPr>
                    <pic:cNvPr id="0" name="yearly_return_5y.png"/>
                    <pic:cNvPicPr/>
                  </pic:nvPicPr>
                  <pic:blipFill>
                    <a:blip r:embed="rId13"/>
                    <a:stretch>
                      <a:fillRect/>
                    </a:stretch>
                  </pic:blipFill>
                  <pic:spPr>
                    <a:xfrm>
                      <a:off x="0" y="0"/>
                      <a:ext cx="5394960" cy="2427732"/>
                    </a:xfrm>
                    <a:prstGeom prst="rect"/>
                  </pic:spPr>
                </pic:pic>
              </a:graphicData>
            </a:graphic>
          </wp:inline>
        </w:drawing>
      </w:r>
    </w:p>
    <w:p>
      <w:pPr>
        <w:spacing w:line="360" w:lineRule="auto" w:after="120"/>
        <w:jc w:val="center"/>
      </w:pPr>
      <w:r>
        <w:rPr>
          <w:rFonts w:ascii="Times New Roman" w:hAnsi="Times New Roman" w:eastAsia="宋体"/>
          <w:b w:val="0"/>
          <w:sz w:val="18"/>
        </w:rPr>
        <w:t>图 5  最近 5 年年度收益</w:t>
      </w:r>
    </w:p>
    <w:p>
      <w:pPr>
        <w:jc w:val="center"/>
      </w:pPr>
      <w:r>
        <w:drawing>
          <wp:inline xmlns:a="http://schemas.openxmlformats.org/drawingml/2006/main" xmlns:pic="http://schemas.openxmlformats.org/drawingml/2006/picture">
            <wp:extent cx="5394960" cy="2427732"/>
            <wp:docPr id="6" name="Picture 6"/>
            <wp:cNvGraphicFramePr>
              <a:graphicFrameLocks noChangeAspect="1"/>
            </wp:cNvGraphicFramePr>
            <a:graphic>
              <a:graphicData uri="http://schemas.openxmlformats.org/drawingml/2006/picture">
                <pic:pic>
                  <pic:nvPicPr>
                    <pic:cNvPr id="0" name="yearly_return_max.png"/>
                    <pic:cNvPicPr/>
                  </pic:nvPicPr>
                  <pic:blipFill>
                    <a:blip r:embed="rId14"/>
                    <a:stretch>
                      <a:fillRect/>
                    </a:stretch>
                  </pic:blipFill>
                  <pic:spPr>
                    <a:xfrm>
                      <a:off x="0" y="0"/>
                      <a:ext cx="5394960" cy="2427732"/>
                    </a:xfrm>
                    <a:prstGeom prst="rect"/>
                  </pic:spPr>
                </pic:pic>
              </a:graphicData>
            </a:graphic>
          </wp:inline>
        </w:drawing>
      </w:r>
    </w:p>
    <w:p>
      <w:pPr>
        <w:spacing w:line="360" w:lineRule="auto" w:after="120"/>
        <w:jc w:val="center"/>
      </w:pPr>
      <w:r>
        <w:rPr>
          <w:rFonts w:ascii="Times New Roman" w:hAnsi="Times New Roman" w:eastAsia="宋体"/>
          <w:b w:val="0"/>
          <w:sz w:val="18"/>
        </w:rPr>
        <w:t>图 6  Max 年度收益</w:t>
      </w:r>
    </w:p>
    <w:p>
      <w:pPr>
        <w:spacing w:before="160" w:after="120"/>
      </w:pPr>
      <w:r>
        <w:rPr>
          <w:rFonts w:ascii="Times New Roman" w:hAnsi="Times New Roman" w:eastAsia="黑体"/>
          <w:b/>
          <w:sz w:val="30"/>
        </w:rPr>
        <w:t>8. 敏感性测试</w:t>
      </w:r>
    </w:p>
    <w:p>
      <w:pPr>
        <w:spacing w:line="360" w:lineRule="auto" w:after="120"/>
        <w:jc w:val="both"/>
      </w:pPr>
      <w:r>
        <w:rPr>
          <w:rFonts w:ascii="Times New Roman" w:hAnsi="Times New Roman" w:eastAsia="宋体"/>
          <w:b w:val="0"/>
          <w:sz w:val="24"/>
        </w:rPr>
        <w:t>目标波动率测试显示，较高目标波动率会提高近 5 年收益，但也会放大 Max 回撤。8%目标波动率虽然不是短期收益最高的设置，但在近 5 年 Sharpe 大于 1 的同时，能够维持较低的长样本回撤。因此最终采用 8%目标波动率。</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目标波动率</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年最大回撤</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最大回撤</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1.2582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-11.10%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0.7651</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-16.17%</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1.2020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-12.34%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0.7078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-20.57%</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1.1892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-13.45%</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0.6566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-24.48%</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1.1996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-14.04%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0.5656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-32.73%</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1.2093</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-14.04%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0.4917</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-41.35%</w:t>
            </w:r>
          </w:p>
        </w:tc>
      </w:tr>
    </w:tbl>
    <w:p>
      <w:pPr>
        <w:spacing w:line="360" w:lineRule="auto" w:after="120"/>
        <w:jc w:val="center"/>
      </w:pPr>
      <w:r>
        <w:rPr>
          <w:rFonts w:ascii="Times New Roman" w:hAnsi="Times New Roman" w:eastAsia="宋体"/>
          <w:b w:val="0"/>
          <w:sz w:val="18"/>
        </w:rPr>
        <w:t>表 6  目标波动率敏感性</w:t>
      </w:r>
    </w:p>
    <w:p>
      <w:pPr>
        <w:spacing w:line="360" w:lineRule="auto" w:after="120"/>
        <w:jc w:val="both"/>
      </w:pPr>
      <w:r>
        <w:rPr>
          <w:rFonts w:ascii="Times New Roman" w:hAnsi="Times New Roman" w:eastAsia="宋体"/>
          <w:b w:val="0"/>
          <w:sz w:val="24"/>
        </w:rPr>
        <w:t>市场过滤测试显示，MA120 和 MA180 在近 5 年表现不错，但 Max 回撤更高；MA300 回撤略低，但长期 Sharpe 低于 MA240。MA240 在 Max Sharpe、最大回撤和近 5 年表现之间取得较好平衡，因此最终采用 MA240。</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市场过滤</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最近 5 年最大回撤</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Sharpe</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sz w:val="21"/>
              </w:rPr>
              <w:t>Max 最大回撤</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MA120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1.3098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-12.97%</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0.7371</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-25.13%</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MA180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1.3592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-10.04%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0.6738</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-20.58%</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MA200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1.2582</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-11.10%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0.7651</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-16.17%</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MA240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1.2014</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-7.30%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0.9206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-16.20%</w:t>
            </w:r>
          </w:p>
        </w:tc>
      </w:tr>
      <w:tr>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MA300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1.3240</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-6.66%</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0.7883</w:t>
            </w:r>
          </w:p>
        </w:tc>
        <w:tc>
          <w:tcPr>
            <w:tcW w:type="dxa" w:w="1843"/>
            <w:tcBorders>
              <w:top w:val="single" w:sz="4" w:color="999999"/>
              <w:left w:val="single" w:sz="4" w:color="CCCCCC"/>
              <w:bottom w:val="single" w:sz="4" w:color="999999"/>
              <w:right w:val="single" w:sz="4" w:color="CCCCCC"/>
            </w:tcBorders>
          </w:tcPr>
          <w:p>
            <w:pPr>
              <w:jc w:val="center"/>
            </w:pPr>
            <w:r/>
            <w:r>
              <w:rPr>
                <w:rFonts w:ascii="Times New Roman" w:hAnsi="Times New Roman" w:eastAsia="宋体"/>
                <w:b w:val="0"/>
                <w:sz w:val="21"/>
              </w:rPr>
              <w:t>-14.49%</w:t>
            </w:r>
          </w:p>
        </w:tc>
      </w:tr>
    </w:tbl>
    <w:p>
      <w:pPr>
        <w:spacing w:line="360" w:lineRule="auto" w:after="120"/>
        <w:jc w:val="center"/>
      </w:pPr>
      <w:r>
        <w:rPr>
          <w:rFonts w:ascii="Times New Roman" w:hAnsi="Times New Roman" w:eastAsia="宋体"/>
          <w:b w:val="0"/>
          <w:sz w:val="18"/>
        </w:rPr>
        <w:t>表 7  市场过滤均线敏感性</w:t>
      </w:r>
    </w:p>
    <w:p>
      <w:pPr>
        <w:spacing w:line="360" w:lineRule="auto" w:after="120"/>
        <w:jc w:val="both"/>
      </w:pPr>
      <w:r>
        <w:rPr>
          <w:rFonts w:ascii="Times New Roman" w:hAnsi="Times New Roman" w:eastAsia="宋体"/>
          <w:b w:val="0"/>
          <w:sz w:val="24"/>
        </w:rPr>
        <w:t>此外，季度调仓相对月度调仓降低了噪音交易和交易成本；卖出缓冲扩大到 90 名后，组合会保留过多已经转弱的股票，收益和 Sharpe 均变差，因此未采用。这些负面结果说明最终参数不是只保留正面实验，而是在多个候选结构中选择风险收益更均衡的一组。</w:t>
      </w:r>
    </w:p>
    <w:p>
      <w:pPr>
        <w:spacing w:before="160" w:after="120"/>
      </w:pPr>
      <w:r>
        <w:rPr>
          <w:rFonts w:ascii="Times New Roman" w:hAnsi="Times New Roman" w:eastAsia="黑体"/>
          <w:b/>
          <w:sz w:val="30"/>
        </w:rPr>
        <w:t>9. 四项评分标准论证</w:t>
      </w:r>
    </w:p>
    <w:p>
      <w:pPr>
        <w:spacing w:line="360" w:lineRule="auto" w:after="120"/>
        <w:jc w:val="both"/>
      </w:pPr>
      <w:r>
        <w:rPr>
          <w:rFonts w:ascii="Times New Roman" w:hAnsi="Times New Roman" w:eastAsia="宋体"/>
          <w:b w:val="0"/>
          <w:sz w:val="24"/>
        </w:rPr>
        <w:t>合理性方面，策略中的每类变量都有明确的事前逻辑。趋势和突破模块来自价格和成交量行为，反映资金偏好和趋势延续；质量模块来自盈利能力、利润质量和偿债能力，避免组合只买入价格强但基本面弱的股票；风险模块直接约束波动、下行波动和回撤。MA240 与目标波动率也有明确目的：前者识别长周期市场环境，后者控制组合风险预算。</w:t>
      </w:r>
    </w:p>
    <w:p>
      <w:pPr>
        <w:spacing w:line="360" w:lineRule="auto" w:after="120"/>
        <w:jc w:val="both"/>
      </w:pPr>
      <w:r>
        <w:rPr>
          <w:rFonts w:ascii="Times New Roman" w:hAnsi="Times New Roman" w:eastAsia="宋体"/>
          <w:b w:val="0"/>
          <w:sz w:val="24"/>
        </w:rPr>
        <w:t>完整性方面，本项目覆盖了一个完整交易系统所需的主要环节。报告包括数据来源、股票池过滤、排名系统、买卖规则、调仓频率、权重分配、交易成本、持仓数量、5 年与 Max 回测、参数敏感性、持仓样例和局限性说明。图 1 到图 6 展示净值、回撤和年度收益；表 1 到表 7 展示绩效、排名系统、持仓、换手和敏感性。</w:t>
      </w:r>
    </w:p>
    <w:p>
      <w:pPr>
        <w:spacing w:line="360" w:lineRule="auto" w:after="120"/>
        <w:jc w:val="both"/>
      </w:pPr>
      <w:r>
        <w:rPr>
          <w:rFonts w:ascii="Times New Roman" w:hAnsi="Times New Roman" w:eastAsia="宋体"/>
          <w:b w:val="0"/>
          <w:sz w:val="24"/>
        </w:rPr>
        <w:t>有效性方面，最近 5 年结果较好，Sharpe 为 1.2014，最大回撤只有 -7.30%。Max 区间 Sharpe 为 0.9206，没有超过 1，也未跑赢基准最终净值，但最大回撤控制在 -16.20%，明显体现了防守属性。换手率和交易成本已经计入净值，因此结果不是未扣成本的理想化收益。</w:t>
      </w:r>
    </w:p>
    <w:p>
      <w:pPr>
        <w:spacing w:line="360" w:lineRule="auto" w:after="120"/>
        <w:jc w:val="both"/>
      </w:pPr>
      <w:r>
        <w:rPr>
          <w:rFonts w:ascii="Times New Roman" w:hAnsi="Times New Roman" w:eastAsia="宋体"/>
          <w:b w:val="0"/>
          <w:sz w:val="24"/>
        </w:rPr>
        <w:t>创造性方面，策略没有停留在单一基本面排序，而是将趋势突破、质量约束、逆波动率权重、市场过滤和目标波动率结合起来。A 股特异性处理包括 ST / 停牌过滤、金融行业剔除、人民币市值和成交额口径转换、长周期指数状态过滤。敏感性测试中保留了高目标波动率和卖出缓冲 90 名的负面结果，说明策略迭代并非只展示好看的结果。</w:t>
      </w:r>
    </w:p>
    <w:p>
      <w:pPr>
        <w:spacing w:before="160" w:after="120"/>
      </w:pPr>
      <w:r>
        <w:rPr>
          <w:rFonts w:ascii="Times New Roman" w:hAnsi="Times New Roman" w:eastAsia="黑体"/>
          <w:b/>
          <w:sz w:val="30"/>
        </w:rPr>
        <w:t>10. 局限性与结论</w:t>
      </w:r>
    </w:p>
    <w:p>
      <w:pPr>
        <w:spacing w:line="360" w:lineRule="auto" w:after="120"/>
        <w:jc w:val="both"/>
      </w:pPr>
      <w:r>
        <w:rPr>
          <w:rFonts w:ascii="Times New Roman" w:hAnsi="Times New Roman" w:eastAsia="宋体"/>
          <w:b w:val="0"/>
          <w:sz w:val="24"/>
        </w:rPr>
        <w:t>本策略仍有局限。第一，Max 区间 Sharpe 为 0.9206，未超过 1，说明长样本风险调整收益仍有提升空间。第二，市场过滤和目标波动率会降低牛市进攻性，强牛市中可能跑输高 Beta 指数。第三，趋势和突破模块存在一定相关性，未来可以加入更独立的成长、盈利修正或分析师预期因子。第四，金融行业被整体剔除，没有建立银行、券商和保险的专门模型。第五，交易成本在长样本中仍然明显。</w:t>
      </w:r>
    </w:p>
    <w:p>
      <w:pPr>
        <w:spacing w:line="360" w:lineRule="auto" w:after="120"/>
        <w:jc w:val="both"/>
      </w:pPr>
      <w:r>
        <w:rPr>
          <w:rFonts w:ascii="Times New Roman" w:hAnsi="Times New Roman" w:eastAsia="宋体"/>
          <w:b w:val="0"/>
          <w:sz w:val="24"/>
        </w:rPr>
        <w:t>总体来看，本项目完成了一套可运行、可回测、可解释的 A 股多因子量化交易系统。策略满足至少 25 只流动性持仓、5 年与 Max 回测、交易成本计入、敏感性测试和风险诊断等课程要求。最终策略在近 5 年表现较好，在长样本中具有较强防守属性，适合作为本课程期末小组项目的正式成果。</w:t>
      </w:r>
    </w:p>
    <w:sectPr w:rsidR="00FC693F" w:rsidRPr="0006063C" w:rsidSect="00034616">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A股多因子量化交易系统课程报告</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