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股多因子量化交易系统课程报告</w:t>
      </w:r>
    </w:p>
    <w:p>
      <w:pPr>
        <w:pStyle w:val="Heading1"/>
      </w:pPr>
      <w:r>
        <w:t>1. 项目摘要</w:t>
      </w:r>
    </w:p>
    <w:p>
      <w:r>
        <w:t>本项目完成了一套可回测、可解释、可复现的 A 股多因子纯多头交易系统。系统由两部分构成：第一是股票排名算法，用于从可交易 A 股中筛选候选股票；第二是模拟交易规则，用于确定持仓数量、调仓频率、权重分配、交易成本和风险控制方式。</w:t>
      </w:r>
    </w:p>
    <w:p>
      <w:r>
        <w:t>策略最终采用“趋势 + 突破 + 质量 + 风险控制”的多因子排名框架。组合每季度调仓，持有综合得分最高的 30 只股票，满足课程要求中“多头头寸至少包含 25 个具有一定流动性的持仓”的约束。回测同时覆盖最近 5 年和 Max 两个区间。</w:t>
      </w:r>
    </w:p>
    <w:p>
      <w:r>
        <w:t>表 1 汇总了最终策略的核心回测结果。</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区间</w:t>
            </w:r>
          </w:p>
        </w:tc>
        <w:tc>
          <w:tcPr>
            <w:tcW w:type="dxa" w:w="1080"/>
          </w:tcPr>
          <w:p>
            <w:r>
              <w:t>年化收益</w:t>
            </w:r>
          </w:p>
        </w:tc>
        <w:tc>
          <w:tcPr>
            <w:tcW w:type="dxa" w:w="1080"/>
          </w:tcPr>
          <w:p>
            <w:r>
              <w:t>累计收益</w:t>
            </w:r>
          </w:p>
        </w:tc>
        <w:tc>
          <w:tcPr>
            <w:tcW w:type="dxa" w:w="1080"/>
          </w:tcPr>
          <w:p>
            <w:r>
              <w:t>最大回撤</w:t>
            </w:r>
          </w:p>
        </w:tc>
        <w:tc>
          <w:tcPr>
            <w:tcW w:type="dxa" w:w="1080"/>
          </w:tcPr>
          <w:p>
            <w:r>
              <w:t>Sharpe</w:t>
            </w:r>
          </w:p>
        </w:tc>
        <w:tc>
          <w:tcPr>
            <w:tcW w:type="dxa" w:w="1080"/>
          </w:tcPr>
          <w:p>
            <w:r>
              <w:t>Sortino</w:t>
            </w:r>
          </w:p>
        </w:tc>
        <w:tc>
          <w:tcPr>
            <w:tcW w:type="dxa" w:w="1080"/>
          </w:tcPr>
          <w:p>
            <w:r>
              <w:t>年化换手率</w:t>
            </w:r>
          </w:p>
        </w:tc>
        <w:tc>
          <w:tcPr>
            <w:tcW w:type="dxa" w:w="1080"/>
          </w:tcPr>
          <w:p>
            <w:r>
              <w:t>最终净值</w:t>
            </w:r>
          </w:p>
        </w:tc>
      </w:tr>
      <w:tr>
        <w:tc>
          <w:tcPr>
            <w:tcW w:type="dxa" w:w="1080"/>
          </w:tcPr>
          <w:p>
            <w:r>
              <w:t>最近 5 年</w:t>
            </w:r>
          </w:p>
        </w:tc>
        <w:tc>
          <w:tcPr>
            <w:tcW w:type="dxa" w:w="1080"/>
          </w:tcPr>
          <w:p>
            <w:r>
              <w:t>10.74%</w:t>
            </w:r>
          </w:p>
        </w:tc>
        <w:tc>
          <w:tcPr>
            <w:tcW w:type="dxa" w:w="1080"/>
          </w:tcPr>
          <w:p>
            <w:r>
              <w:t>62.64%</w:t>
            </w:r>
          </w:p>
        </w:tc>
        <w:tc>
          <w:tcPr>
            <w:tcW w:type="dxa" w:w="1080"/>
          </w:tcPr>
          <w:p>
            <w:r>
              <w:t>-7.30%</w:t>
            </w:r>
          </w:p>
        </w:tc>
        <w:tc>
          <w:tcPr>
            <w:tcW w:type="dxa" w:w="1080"/>
          </w:tcPr>
          <w:p>
            <w:r>
              <w:t>1.2014</w:t>
            </w:r>
          </w:p>
        </w:tc>
        <w:tc>
          <w:tcPr>
            <w:tcW w:type="dxa" w:w="1080"/>
          </w:tcPr>
          <w:p>
            <w:r>
              <w:t>1.3036</w:t>
            </w:r>
          </w:p>
        </w:tc>
        <w:tc>
          <w:tcPr>
            <w:tcW w:type="dxa" w:w="1080"/>
          </w:tcPr>
          <w:p>
            <w:r>
              <w:t>13.45</w:t>
            </w:r>
          </w:p>
        </w:tc>
        <w:tc>
          <w:tcPr>
            <w:tcW w:type="dxa" w:w="1080"/>
          </w:tcPr>
          <w:p>
            <w:r>
              <w:t>1.6264</w:t>
            </w:r>
          </w:p>
        </w:tc>
      </w:tr>
      <w:tr>
        <w:tc>
          <w:tcPr>
            <w:tcW w:type="dxa" w:w="1080"/>
          </w:tcPr>
          <w:p>
            <w:r>
              <w:t>Max</w:t>
            </w:r>
          </w:p>
        </w:tc>
        <w:tc>
          <w:tcPr>
            <w:tcW w:type="dxa" w:w="1080"/>
          </w:tcPr>
          <w:p>
            <w:r>
              <w:t>7.49%</w:t>
            </w:r>
          </w:p>
        </w:tc>
        <w:tc>
          <w:tcPr>
            <w:tcW w:type="dxa" w:w="1080"/>
          </w:tcPr>
          <w:p>
            <w:r>
              <w:t>342.26%</w:t>
            </w:r>
          </w:p>
        </w:tc>
        <w:tc>
          <w:tcPr>
            <w:tcW w:type="dxa" w:w="1080"/>
          </w:tcPr>
          <w:p>
            <w:r>
              <w:t>-16.20%</w:t>
            </w:r>
          </w:p>
        </w:tc>
        <w:tc>
          <w:tcPr>
            <w:tcW w:type="dxa" w:w="1080"/>
          </w:tcPr>
          <w:p>
            <w:r>
              <w:t>0.9206</w:t>
            </w:r>
          </w:p>
        </w:tc>
        <w:tc>
          <w:tcPr>
            <w:tcW w:type="dxa" w:w="1080"/>
          </w:tcPr>
          <w:p>
            <w:r>
              <w:t>0.9560</w:t>
            </w:r>
          </w:p>
        </w:tc>
        <w:tc>
          <w:tcPr>
            <w:tcW w:type="dxa" w:w="1080"/>
          </w:tcPr>
          <w:p>
            <w:r>
              <w:t>9.89</w:t>
            </w:r>
          </w:p>
        </w:tc>
        <w:tc>
          <w:tcPr>
            <w:tcW w:type="dxa" w:w="1080"/>
          </w:tcPr>
          <w:p>
            <w:r>
              <w:t>4.4226</w:t>
            </w:r>
          </w:p>
        </w:tc>
      </w:tr>
    </w:tbl>
    <w:p>
      <w:r>
        <w:t>最近 5 年净值曲线</w:t>
      </w:r>
    </w:p>
    <w:p>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nav_5y.png"/>
                    <pic:cNvPicPr/>
                  </pic:nvPicPr>
                  <pic:blipFill>
                    <a:blip r:embed="rId9"/>
                    <a:stretch>
                      <a:fillRect/>
                    </a:stretch>
                  </pic:blipFill>
                  <pic:spPr>
                    <a:xfrm>
                      <a:off x="0" y="0"/>
                      <a:ext cx="5669280" cy="2834640"/>
                    </a:xfrm>
                    <a:prstGeom prst="rect"/>
                  </pic:spPr>
                </pic:pic>
              </a:graphicData>
            </a:graphic>
          </wp:inline>
        </w:drawing>
      </w:r>
    </w:p>
    <w:p>
      <w:r>
        <w:t>Max 净值曲线</w:t>
      </w:r>
    </w:p>
    <w:p>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nav_max.png"/>
                    <pic:cNvPicPr/>
                  </pic:nvPicPr>
                  <pic:blipFill>
                    <a:blip r:embed="rId10"/>
                    <a:stretch>
                      <a:fillRect/>
                    </a:stretch>
                  </pic:blipFill>
                  <pic:spPr>
                    <a:xfrm>
                      <a:off x="0" y="0"/>
                      <a:ext cx="5669280" cy="2834640"/>
                    </a:xfrm>
                    <a:prstGeom prst="rect"/>
                  </pic:spPr>
                </pic:pic>
              </a:graphicData>
            </a:graphic>
          </wp:inline>
        </w:drawing>
      </w:r>
    </w:p>
    <w:p>
      <w:pPr>
        <w:pStyle w:val="Heading1"/>
      </w:pPr>
      <w:r>
        <w:t>2. 课程要求对应关系</w:t>
      </w:r>
    </w:p>
    <w:p>
      <w:r>
        <w:t>课程作业要求小组设计一个可在米筐或 P123 平台实现的量化交易系统，完整系统应包括排名算法和模拟交易规则。作业同时要求使用标准化参数报告一组结果，并允许在说明理由的前提下放宽部分参数进行额外测试。</w:t>
      </w:r>
    </w:p>
    <w:p>
      <w:r>
        <w:t>本项目对标准化参数的对应如下：</w:t>
      </w:r>
    </w:p>
    <w:tbl>
      <w:tblPr>
        <w:tblStyle w:val="TableGrid"/>
        <w:tblW w:type="auto" w:w="0"/>
        <w:tblLook w:firstColumn="1" w:firstRow="1" w:lastColumn="0" w:lastRow="0" w:noHBand="0" w:noVBand="1" w:val="04A0"/>
      </w:tblPr>
      <w:tblGrid>
        <w:gridCol w:w="4320"/>
        <w:gridCol w:w="4320"/>
      </w:tblGrid>
      <w:tr>
        <w:tc>
          <w:tcPr>
            <w:tcW w:type="dxa" w:w="4320"/>
          </w:tcPr>
          <w:p>
            <w:r>
              <w:t>课程要求</w:t>
            </w:r>
          </w:p>
        </w:tc>
        <w:tc>
          <w:tcPr>
            <w:tcW w:type="dxa" w:w="4320"/>
          </w:tcPr>
          <w:p>
            <w:r>
              <w:t>本项目实现</w:t>
            </w:r>
          </w:p>
        </w:tc>
      </w:tr>
      <w:tr>
        <w:tc>
          <w:tcPr>
            <w:tcW w:type="dxa" w:w="4320"/>
          </w:tcPr>
          <w:p>
            <w:r>
              <w:t>多头头寸至少 25 个具有一定流动性的持仓</w:t>
            </w:r>
          </w:p>
        </w:tc>
        <w:tc>
          <w:tcPr>
            <w:tcW w:type="dxa" w:w="4320"/>
          </w:tcPr>
          <w:p>
            <w:r>
              <w:t>最终策略固定持有 30 只股票；最近 5 年和 Max 区间均没有低于 25 只的交易日</w:t>
            </w:r>
          </w:p>
        </w:tc>
      </w:tr>
      <w:tr>
        <w:tc>
          <w:tcPr>
            <w:tcW w:type="dxa" w:w="4320"/>
          </w:tcPr>
          <w:p>
            <w:r>
              <w:t>市值、价格、过去 20 日成交量过滤</w:t>
            </w:r>
          </w:p>
        </w:tc>
        <w:tc>
          <w:tcPr>
            <w:tcW w:type="dxa" w:w="4320"/>
          </w:tcPr>
          <w:p>
            <w:r>
              <w:t>A 股环境下使用市值、收盘价和 20 日平均成交额过滤，并剔除停牌和 ST 股票</w:t>
            </w:r>
          </w:p>
        </w:tc>
      </w:tr>
      <w:tr>
        <w:tc>
          <w:tcPr>
            <w:tcW w:type="dxa" w:w="4320"/>
          </w:tcPr>
          <w:p>
            <w:r>
              <w:t>初始资金 100 万，考虑滑点和交易成本</w:t>
            </w:r>
          </w:p>
        </w:tc>
        <w:tc>
          <w:tcPr>
            <w:tcW w:type="dxa" w:w="4320"/>
          </w:tcPr>
          <w:p>
            <w:r>
              <w:t>回测采用 100 万初始资金口径，交易成本以比例成本计入净值</w:t>
            </w:r>
          </w:p>
        </w:tc>
      </w:tr>
      <w:tr>
        <w:tc>
          <w:tcPr>
            <w:tcW w:type="dxa" w:w="4320"/>
          </w:tcPr>
          <w:p>
            <w:r>
              <w:t>最近 5 年与 Max 回测</w:t>
            </w:r>
          </w:p>
        </w:tc>
        <w:tc>
          <w:tcPr>
            <w:tcW w:type="dxa" w:w="4320"/>
          </w:tcPr>
          <w:p>
            <w:r>
              <w:t>已完成两个区间回测并报告核心绩效指标</w:t>
            </w:r>
          </w:p>
        </w:tc>
      </w:tr>
      <w:tr>
        <w:tc>
          <w:tcPr>
            <w:tcW w:type="dxa" w:w="4320"/>
          </w:tcPr>
          <w:p>
            <w:r>
              <w:t>排名系统和模拟交易设置说明</w:t>
            </w:r>
          </w:p>
        </w:tc>
        <w:tc>
          <w:tcPr>
            <w:tcW w:type="dxa" w:w="4320"/>
          </w:tcPr>
          <w:p>
            <w:r>
              <w:t>报告第 4、5 节详细说明因子、权重、调仓和风控规则</w:t>
            </w:r>
          </w:p>
        </w:tc>
      </w:tr>
      <w:tr>
        <w:tc>
          <w:tcPr>
            <w:tcW w:type="dxa" w:w="4320"/>
          </w:tcPr>
          <w:p>
            <w:r>
              <w:t>参数微调敏感性</w:t>
            </w:r>
          </w:p>
        </w:tc>
        <w:tc>
          <w:tcPr>
            <w:tcW w:type="dxa" w:w="4320"/>
          </w:tcPr>
          <w:p>
            <w:r>
              <w:t>报告第 7 节展示调仓频率、目标波动率、均线长度等敏感性测试</w:t>
            </w:r>
          </w:p>
        </w:tc>
      </w:tr>
    </w:tbl>
    <w:p>
      <w:r>
        <w:t>由于课程参数以美股环境为背景，本项目在 A 股场景下保留其核心精神：价格、市值、流动性和持仓数量约束不变，但将市值和成交量指标转换为人民币市场下更合适的市值和成交额口径。同时，A 股特有的 ST、停牌和行业会计可比性问题也被纳入股票池过滤。</w:t>
      </w:r>
    </w:p>
    <w:p>
      <w:pPr>
        <w:pStyle w:val="Heading1"/>
      </w:pPr>
      <w:r>
        <w:t>3. 数据来源与数据构成</w:t>
      </w:r>
    </w:p>
    <w:p>
      <w:r>
        <w:t>数据来自米筐账号下载并整理的 A 股历史数据。数据覆盖股票日线行情、指数行情、交易日历、股票基础信息、ST 与停牌状态、财务与估值因子、复权信息、分红信息和无风险利率。策略仅使用已经整理好的静态数据进行研究回测，不在回测过程中动态请求在线行情或因子接口，从而保证回测结果可复现。</w:t>
      </w:r>
    </w:p>
    <w:p>
      <w:r>
        <w:t>本项目使用的主要数据包括：</w:t>
      </w:r>
    </w:p>
    <w:tbl>
      <w:tblPr>
        <w:tblStyle w:val="TableGrid"/>
        <w:tblW w:type="auto" w:w="0"/>
        <w:tblLook w:firstColumn="1" w:firstRow="1" w:lastColumn="0" w:lastRow="0" w:noHBand="0" w:noVBand="1" w:val="04A0"/>
      </w:tblPr>
      <w:tblGrid>
        <w:gridCol w:w="4320"/>
        <w:gridCol w:w="4320"/>
      </w:tblGrid>
      <w:tr>
        <w:tc>
          <w:tcPr>
            <w:tcW w:type="dxa" w:w="4320"/>
          </w:tcPr>
          <w:p>
            <w:r>
              <w:t>数据类型</w:t>
            </w:r>
          </w:p>
        </w:tc>
        <w:tc>
          <w:tcPr>
            <w:tcW w:type="dxa" w:w="4320"/>
          </w:tcPr>
          <w:p>
            <w:r>
              <w:t>用途</w:t>
            </w:r>
          </w:p>
        </w:tc>
      </w:tr>
      <w:tr>
        <w:tc>
          <w:tcPr>
            <w:tcW w:type="dxa" w:w="4320"/>
          </w:tcPr>
          <w:p>
            <w:r>
              <w:t>股票日线行情</w:t>
            </w:r>
          </w:p>
        </w:tc>
        <w:tc>
          <w:tcPr>
            <w:tcW w:type="dxa" w:w="4320"/>
          </w:tcPr>
          <w:p>
            <w:r>
              <w:t>计算价格、成交额、动量、均线、波动率、回撤和突破指标</w:t>
            </w:r>
          </w:p>
        </w:tc>
      </w:tr>
      <w:tr>
        <w:tc>
          <w:tcPr>
            <w:tcW w:type="dxa" w:w="4320"/>
          </w:tcPr>
          <w:p>
            <w:r>
              <w:t>指数日线行情</w:t>
            </w:r>
          </w:p>
        </w:tc>
        <w:tc>
          <w:tcPr>
            <w:tcW w:type="dxa" w:w="4320"/>
          </w:tcPr>
          <w:p>
            <w:r>
              <w:t>构建中证 800 基准和市场状态过滤</w:t>
            </w:r>
          </w:p>
        </w:tc>
      </w:tr>
      <w:tr>
        <w:tc>
          <w:tcPr>
            <w:tcW w:type="dxa" w:w="4320"/>
          </w:tcPr>
          <w:p>
            <w:r>
              <w:t>股票基础信息</w:t>
            </w:r>
          </w:p>
        </w:tc>
        <w:tc>
          <w:tcPr>
            <w:tcW w:type="dxa" w:w="4320"/>
          </w:tcPr>
          <w:p>
            <w:r>
              <w:t>判断上市时间、股票类型和行业</w:t>
            </w:r>
          </w:p>
        </w:tc>
      </w:tr>
      <w:tr>
        <w:tc>
          <w:tcPr>
            <w:tcW w:type="dxa" w:w="4320"/>
          </w:tcPr>
          <w:p>
            <w:r>
              <w:t>ST / 停牌状态</w:t>
            </w:r>
          </w:p>
        </w:tc>
        <w:tc>
          <w:tcPr>
            <w:tcW w:type="dxa" w:w="4320"/>
          </w:tcPr>
          <w:p>
            <w:r>
              <w:t>剔除不可交易或风险状态异常股票</w:t>
            </w:r>
          </w:p>
        </w:tc>
      </w:tr>
      <w:tr>
        <w:tc>
          <w:tcPr>
            <w:tcW w:type="dxa" w:w="4320"/>
          </w:tcPr>
          <w:p>
            <w:r>
              <w:t>财务与估值因子</w:t>
            </w:r>
          </w:p>
        </w:tc>
        <w:tc>
          <w:tcPr>
            <w:tcW w:type="dxa" w:w="4320"/>
          </w:tcPr>
          <w:p>
            <w:r>
              <w:t>构建质量模块和市值过滤</w:t>
            </w:r>
          </w:p>
        </w:tc>
      </w:tr>
      <w:tr>
        <w:tc>
          <w:tcPr>
            <w:tcW w:type="dxa" w:w="4320"/>
          </w:tcPr>
          <w:p>
            <w:r>
              <w:t>无风险利率</w:t>
            </w:r>
          </w:p>
        </w:tc>
        <w:tc>
          <w:tcPr>
            <w:tcW w:type="dxa" w:w="4320"/>
          </w:tcPr>
          <w:p>
            <w:r>
              <w:t>对现金或低风险仓位进行收益估算</w:t>
            </w:r>
          </w:p>
        </w:tc>
      </w:tr>
    </w:tbl>
    <w:p>
      <w:pPr>
        <w:pStyle w:val="Heading1"/>
      </w:pPr>
      <w:r>
        <w:t>4. 排名系统设计</w:t>
      </w:r>
    </w:p>
    <w:p>
      <w:r>
        <w:t>排名系统是本交易系统的核心。每个调仓日，策略先在可交易股票池中计算各股票的多因子得分，再按照综合分从高到低排序。最终买入排名靠前的股票。</w:t>
      </w:r>
    </w:p>
    <w:p>
      <w:pPr>
        <w:pStyle w:val="Heading2"/>
      </w:pPr>
      <w:r>
        <w:t>4.1 趋势模块</w:t>
      </w:r>
    </w:p>
    <w:p>
      <w:r>
        <w:t>趋势模块用于捕捉中期价格强势。A 股市场中，资金流入和趋势延续经常会在数月维度上持续，因此趋势信号可以帮助策略避免过早买入弱势股票。本项目使用 63 日、126 日和 252 日动量，以及 60 日、120 日均线相对强度构成趋势得分。</w:t>
      </w:r>
    </w:p>
    <w:p>
      <w:pPr>
        <w:pStyle w:val="Heading2"/>
      </w:pPr>
      <w:r>
        <w:t>4.2 突破模块</w:t>
      </w:r>
    </w:p>
    <w:p>
      <w:r>
        <w:t>突破模块用于识别价格接近阶段高点且成交活跃度改善的股票。具体信号包括接近 252 日高点程度，以及 20 日平均成交额相对 60 日平均成交额的变化。该模块的经济含义是：价格突破和成交活跃度提升共同出现时，往往代表市场关注度和资金参与度上升。</w:t>
      </w:r>
    </w:p>
    <w:p>
      <w:pPr>
        <w:pStyle w:val="Heading2"/>
      </w:pPr>
      <w:r>
        <w:t>4.3 质量模块</w:t>
      </w:r>
    </w:p>
    <w:p>
      <w:r>
        <w:t>质量模块用于约束组合基本面质量，避免策略完全依赖价格信号。使用的子因子包括 ROE、ROA、毛利率和经营现金流/债务。ROE 和 ROA 反映盈利能力，毛利率反映商业模式和产品竞争力，经营现金流/债务反映偿债能力和利润质量。</w:t>
      </w:r>
    </w:p>
    <w:p>
      <w:pPr>
        <w:pStyle w:val="Heading2"/>
      </w:pPr>
      <w:r>
        <w:t>4.4 风险模块</w:t>
      </w:r>
    </w:p>
    <w:p>
      <w:r>
        <w:t>风险模块用于降低组合暴露于高波动、高回撤股票的概率。使用的信号包括 120 日波动率、120 日下行波动率和 252 日回撤。波动率和下行波动率越低，风险得分越高；相对历史高点回撤越小，得分越高。</w:t>
      </w:r>
    </w:p>
    <w:p>
      <w:pPr>
        <w:pStyle w:val="Heading2"/>
      </w:pPr>
      <w:r>
        <w:t>4.5 综合得分</w:t>
      </w:r>
    </w:p>
    <w:p>
      <w:r>
        <w:t>所有子因子在调仓日横截面进行去极值和标准化处理，然后合成为模块得分。最终综合得分为：</w:t>
      </w:r>
    </w:p>
    <w:p>
      <w:r>
        <w:t>Score = 45% * Trend</w:t>
      </w:r>
    </w:p>
    <w:p>
      <w:r>
        <w:t xml:space="preserve">      + 20% * Breakout</w:t>
      </w:r>
    </w:p>
    <w:p>
      <w:r>
        <w:t xml:space="preserve">      + 20% * Quality</w:t>
      </w:r>
    </w:p>
    <w:p>
      <w:r>
        <w:t xml:space="preserve">      + 15% * Risk</w:t>
      </w:r>
    </w:p>
    <w:p>
      <w:r>
        <w:t>该权重设置体现了策略设计原则：以趋势和突破捕捉 A 股市场中的中期强势，以质量约束基本面风险，以风险模块降低高波动股票对组合的冲击。</w:t>
      </w:r>
    </w:p>
    <w:p>
      <w:pPr>
        <w:pStyle w:val="Heading1"/>
      </w:pPr>
      <w:r>
        <w:t>5. 模拟交易设置</w:t>
      </w:r>
    </w:p>
    <w:p>
      <w:pPr>
        <w:pStyle w:val="Heading2"/>
      </w:pPr>
      <w:r>
        <w:t>5.1 股票池过滤</w:t>
      </w:r>
    </w:p>
    <w:p>
      <w:r>
        <w:t>每个调仓日从全 A 股开始筛选。股票必须满足普通股、非 ST、非停牌、上市满 273 个交易日、收盘价大于 2、20 日平均成交额达到流动性要求、市值达到筛选阈值等条件。金融行业被剔除，因为银行、券商、保险等公司的资产负债结构和财务指标含义与一般制造业、消费、科技公司差异较大。</w:t>
      </w:r>
    </w:p>
    <w:p>
      <w:pPr>
        <w:pStyle w:val="Heading2"/>
      </w:pPr>
      <w:r>
        <w:t>5.2 持仓与调仓</w:t>
      </w:r>
    </w:p>
    <w:p>
      <w:r>
        <w:t>策略每季度调仓，持有综合得分前 30 名股票。使用季度调仓而不是月度调仓，是因为趋势、质量和风险类信号的经济含义更适合中期持有，过高频率调仓会增加噪音交易和交易成本。</w:t>
      </w:r>
    </w:p>
    <w:p>
      <w:r>
        <w:t>策略设置卖出缓冲：若原持仓股票没有跌出前 60 名，则继续持有。这可以减少排名小幅波动带来的频繁换仓。</w:t>
      </w:r>
    </w:p>
    <w:p>
      <w:pPr>
        <w:pStyle w:val="Heading2"/>
      </w:pPr>
      <w:r>
        <w:t>5.3 权重与风险控制</w:t>
      </w:r>
    </w:p>
    <w:p>
      <w:r>
        <w:t>组合采用逆波动率权重，使低波动股票获得相对更高权重，高波动股票获得相对更低权重。组合同时使用中证 800 指数 MA240 作为市场状态过滤。当市场处于长期均线下方时，策略降低股票风险暴露。组合目标波动率设为 8%，用于控制不同市场阶段下的整体风险。</w:t>
      </w:r>
    </w:p>
    <w:p>
      <w:r>
        <w:t>对个股层面，若股票相对 252 日高点回撤超过 25%，策略不会立即强制清仓，而是在排名中施加惩罚。这样既能降低弱势股票入选概率，又能保证组合持仓数稳定。</w:t>
      </w:r>
    </w:p>
    <w:p>
      <w:pPr>
        <w:pStyle w:val="Heading1"/>
      </w:pPr>
      <w:r>
        <w:t>6. 回测结果分析</w:t>
      </w:r>
    </w:p>
    <w:p>
      <w:pPr>
        <w:pStyle w:val="Heading2"/>
      </w:pPr>
      <w:r>
        <w:t>6.1 最近 5 年结果</w:t>
      </w:r>
    </w:p>
    <w:p>
      <w:r>
        <w:t>最近 5 年回测区间为 2021-06-30 至 2026-06-16。策略最终净值为 1.6264，年化收益 10.74%，最大回撤 -7.30%，Sharpe 1.2014。同期基准最终净值为 1.0057。该区间内，策略在收益和回撤控制上均明显优于基准。</w:t>
      </w:r>
    </w:p>
    <w:p>
      <w:r>
        <w:t>最近 5 年回撤曲线</w:t>
      </w:r>
    </w:p>
    <w:p>
      <w:r>
        <w:drawing>
          <wp:inline xmlns:a="http://schemas.openxmlformats.org/drawingml/2006/main" xmlns:pic="http://schemas.openxmlformats.org/drawingml/2006/picture">
            <wp:extent cx="5669280" cy="2267712"/>
            <wp:docPr id="3" name="Picture 3"/>
            <wp:cNvGraphicFramePr>
              <a:graphicFrameLocks noChangeAspect="1"/>
            </wp:cNvGraphicFramePr>
            <a:graphic>
              <a:graphicData uri="http://schemas.openxmlformats.org/drawingml/2006/picture">
                <pic:pic>
                  <pic:nvPicPr>
                    <pic:cNvPr id="0" name="drawdown_5y.png"/>
                    <pic:cNvPicPr/>
                  </pic:nvPicPr>
                  <pic:blipFill>
                    <a:blip r:embed="rId11"/>
                    <a:stretch>
                      <a:fillRect/>
                    </a:stretch>
                  </pic:blipFill>
                  <pic:spPr>
                    <a:xfrm>
                      <a:off x="0" y="0"/>
                      <a:ext cx="5669280" cy="2267712"/>
                    </a:xfrm>
                    <a:prstGeom prst="rect"/>
                  </pic:spPr>
                </pic:pic>
              </a:graphicData>
            </a:graphic>
          </wp:inline>
        </w:drawing>
      </w:r>
    </w:p>
    <w:p>
      <w:r>
        <w:t>最近 5 年年度收益</w:t>
      </w:r>
    </w:p>
    <w:p>
      <w:r>
        <w:drawing>
          <wp:inline xmlns:a="http://schemas.openxmlformats.org/drawingml/2006/main" xmlns:pic="http://schemas.openxmlformats.org/drawingml/2006/picture">
            <wp:extent cx="5669280" cy="2551176"/>
            <wp:docPr id="4" name="Picture 4"/>
            <wp:cNvGraphicFramePr>
              <a:graphicFrameLocks noChangeAspect="1"/>
            </wp:cNvGraphicFramePr>
            <a:graphic>
              <a:graphicData uri="http://schemas.openxmlformats.org/drawingml/2006/picture">
                <pic:pic>
                  <pic:nvPicPr>
                    <pic:cNvPr id="0" name="yearly_return_5y.png"/>
                    <pic:cNvPicPr/>
                  </pic:nvPicPr>
                  <pic:blipFill>
                    <a:blip r:embed="rId12"/>
                    <a:stretch>
                      <a:fillRect/>
                    </a:stretch>
                  </pic:blipFill>
                  <pic:spPr>
                    <a:xfrm>
                      <a:off x="0" y="0"/>
                      <a:ext cx="5669280" cy="2551176"/>
                    </a:xfrm>
                    <a:prstGeom prst="rect"/>
                  </pic:spPr>
                </pic:pic>
              </a:graphicData>
            </a:graphic>
          </wp:inline>
        </w:drawing>
      </w:r>
    </w:p>
    <w:p>
      <w:pPr>
        <w:pStyle w:val="Heading2"/>
      </w:pPr>
      <w:r>
        <w:t>6.2 Max 结果</w:t>
      </w:r>
    </w:p>
    <w:p>
      <w:r>
        <w:t>Max 回测区间为 2005-01-31 至 2026-06-16。策略最终净值为 4.4226，年化收益 7.49%，最大回撤 -16.20%，Sharpe 0.9206。同期基准最终净值为 5.8247。长样本中，策略未跑赢基准最终净值，但显著降低了最大回撤和 Beta，体现出更强的防守属性。</w:t>
      </w:r>
    </w:p>
    <w:p>
      <w:r>
        <w:t>Max 回撤曲线</w:t>
      </w:r>
    </w:p>
    <w:p>
      <w:r>
        <w:drawing>
          <wp:inline xmlns:a="http://schemas.openxmlformats.org/drawingml/2006/main" xmlns:pic="http://schemas.openxmlformats.org/drawingml/2006/picture">
            <wp:extent cx="5669280" cy="2267712"/>
            <wp:docPr id="5" name="Picture 5"/>
            <wp:cNvGraphicFramePr>
              <a:graphicFrameLocks noChangeAspect="1"/>
            </wp:cNvGraphicFramePr>
            <a:graphic>
              <a:graphicData uri="http://schemas.openxmlformats.org/drawingml/2006/picture">
                <pic:pic>
                  <pic:nvPicPr>
                    <pic:cNvPr id="0" name="drawdown_max.png"/>
                    <pic:cNvPicPr/>
                  </pic:nvPicPr>
                  <pic:blipFill>
                    <a:blip r:embed="rId13"/>
                    <a:stretch>
                      <a:fillRect/>
                    </a:stretch>
                  </pic:blipFill>
                  <pic:spPr>
                    <a:xfrm>
                      <a:off x="0" y="0"/>
                      <a:ext cx="5669280" cy="2267712"/>
                    </a:xfrm>
                    <a:prstGeom prst="rect"/>
                  </pic:spPr>
                </pic:pic>
              </a:graphicData>
            </a:graphic>
          </wp:inline>
        </w:drawing>
      </w:r>
    </w:p>
    <w:p>
      <w:r>
        <w:t>Max 年度收益</w:t>
      </w:r>
    </w:p>
    <w:p>
      <w:r>
        <w:drawing>
          <wp:inline xmlns:a="http://schemas.openxmlformats.org/drawingml/2006/main" xmlns:pic="http://schemas.openxmlformats.org/drawingml/2006/picture">
            <wp:extent cx="5669280" cy="2551176"/>
            <wp:docPr id="6" name="Picture 6"/>
            <wp:cNvGraphicFramePr>
              <a:graphicFrameLocks noChangeAspect="1"/>
            </wp:cNvGraphicFramePr>
            <a:graphic>
              <a:graphicData uri="http://schemas.openxmlformats.org/drawingml/2006/picture">
                <pic:pic>
                  <pic:nvPicPr>
                    <pic:cNvPr id="0" name="yearly_return_max.png"/>
                    <pic:cNvPicPr/>
                  </pic:nvPicPr>
                  <pic:blipFill>
                    <a:blip r:embed="rId14"/>
                    <a:stretch>
                      <a:fillRect/>
                    </a:stretch>
                  </pic:blipFill>
                  <pic:spPr>
                    <a:xfrm>
                      <a:off x="0" y="0"/>
                      <a:ext cx="5669280" cy="2551176"/>
                    </a:xfrm>
                    <a:prstGeom prst="rect"/>
                  </pic:spPr>
                </pic:pic>
              </a:graphicData>
            </a:graphic>
          </wp:inline>
        </w:drawing>
      </w:r>
    </w:p>
    <w:p>
      <w:pPr>
        <w:pStyle w:val="Heading2"/>
      </w:pPr>
      <w:r>
        <w:t>6.3 持仓数量与交易成本</w:t>
      </w:r>
    </w:p>
    <w:p>
      <w:r>
        <w:t>两个回测区间内，组合实际持仓数始终为 30 只，没有出现低于 25 只的情况。最近 5 年年化换手率为 13.45，Max 年化换手率为 9.89。交易成本已经计入净值，最近 5 年成本拖累为 9.63%，Max 成本拖累为 30.55%。这说明策略虽然取得了较好的回撤控制，但换手和交易成本仍是需要关注的限制因素。</w:t>
      </w:r>
    </w:p>
    <w:p>
      <w:pPr>
        <w:pStyle w:val="Heading1"/>
      </w:pPr>
      <w:r>
        <w:t>7. 参数敏感性测试</w:t>
      </w:r>
    </w:p>
    <w:p>
      <w:r>
        <w:t>课程评分标准要求关注参数微调对模型表现的影响。本项目重点测试了调仓频率、卖出缓冲、目标波动率和市场过滤均线长度。</w:t>
      </w:r>
    </w:p>
    <w:p>
      <w:r>
        <w:t>表 2 展示了目标波动率测试的核心结论。较高目标波动率可以提升近 5 年收益，但会扩大 Max 回撤并降低长期 Sharpe。最终选择 8%目标波动率，是因为它在近 5 年 Sharpe 大于 1 的同时，对长样本回撤控制更好。</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目标波动率</w:t>
            </w:r>
          </w:p>
        </w:tc>
        <w:tc>
          <w:tcPr>
            <w:tcW w:type="dxa" w:w="1728"/>
          </w:tcPr>
          <w:p>
            <w:r>
              <w:t>最近 5 年 Sharpe</w:t>
            </w:r>
          </w:p>
        </w:tc>
        <w:tc>
          <w:tcPr>
            <w:tcW w:type="dxa" w:w="1728"/>
          </w:tcPr>
          <w:p>
            <w:r>
              <w:t>最近 5 年最大回撤</w:t>
            </w:r>
          </w:p>
        </w:tc>
        <w:tc>
          <w:tcPr>
            <w:tcW w:type="dxa" w:w="1728"/>
          </w:tcPr>
          <w:p>
            <w:r>
              <w:t>Max Sharpe</w:t>
            </w:r>
          </w:p>
        </w:tc>
        <w:tc>
          <w:tcPr>
            <w:tcW w:type="dxa" w:w="1728"/>
          </w:tcPr>
          <w:p>
            <w:r>
              <w:t>Max 最大回撤</w:t>
            </w:r>
          </w:p>
        </w:tc>
      </w:tr>
      <w:tr>
        <w:tc>
          <w:tcPr>
            <w:tcW w:type="dxa" w:w="1728"/>
          </w:tcPr>
          <w:p>
            <w:r>
              <w:t>8%</w:t>
            </w:r>
          </w:p>
        </w:tc>
        <w:tc>
          <w:tcPr>
            <w:tcW w:type="dxa" w:w="1728"/>
          </w:tcPr>
          <w:p>
            <w:r>
              <w:t>1.2582</w:t>
            </w:r>
          </w:p>
        </w:tc>
        <w:tc>
          <w:tcPr>
            <w:tcW w:type="dxa" w:w="1728"/>
          </w:tcPr>
          <w:p>
            <w:r>
              <w:t>-11.10%</w:t>
            </w:r>
          </w:p>
        </w:tc>
        <w:tc>
          <w:tcPr>
            <w:tcW w:type="dxa" w:w="1728"/>
          </w:tcPr>
          <w:p>
            <w:r>
              <w:t>0.7651</w:t>
            </w:r>
          </w:p>
        </w:tc>
        <w:tc>
          <w:tcPr>
            <w:tcW w:type="dxa" w:w="1728"/>
          </w:tcPr>
          <w:p>
            <w:r>
              <w:t>-16.17%</w:t>
            </w:r>
          </w:p>
        </w:tc>
      </w:tr>
      <w:tr>
        <w:tc>
          <w:tcPr>
            <w:tcW w:type="dxa" w:w="1728"/>
          </w:tcPr>
          <w:p>
            <w:r>
              <w:t>10%</w:t>
            </w:r>
          </w:p>
        </w:tc>
        <w:tc>
          <w:tcPr>
            <w:tcW w:type="dxa" w:w="1728"/>
          </w:tcPr>
          <w:p>
            <w:r>
              <w:t>1.2020</w:t>
            </w:r>
          </w:p>
        </w:tc>
        <w:tc>
          <w:tcPr>
            <w:tcW w:type="dxa" w:w="1728"/>
          </w:tcPr>
          <w:p>
            <w:r>
              <w:t>-12.34%</w:t>
            </w:r>
          </w:p>
        </w:tc>
        <w:tc>
          <w:tcPr>
            <w:tcW w:type="dxa" w:w="1728"/>
          </w:tcPr>
          <w:p>
            <w:r>
              <w:t>0.7078</w:t>
            </w:r>
          </w:p>
        </w:tc>
        <w:tc>
          <w:tcPr>
            <w:tcW w:type="dxa" w:w="1728"/>
          </w:tcPr>
          <w:p>
            <w:r>
              <w:t>-20.57%</w:t>
            </w:r>
          </w:p>
        </w:tc>
      </w:tr>
      <w:tr>
        <w:tc>
          <w:tcPr>
            <w:tcW w:type="dxa" w:w="1728"/>
          </w:tcPr>
          <w:p>
            <w:r>
              <w:t>12%</w:t>
            </w:r>
          </w:p>
        </w:tc>
        <w:tc>
          <w:tcPr>
            <w:tcW w:type="dxa" w:w="1728"/>
          </w:tcPr>
          <w:p>
            <w:r>
              <w:t>1.1892</w:t>
            </w:r>
          </w:p>
        </w:tc>
        <w:tc>
          <w:tcPr>
            <w:tcW w:type="dxa" w:w="1728"/>
          </w:tcPr>
          <w:p>
            <w:r>
              <w:t>-13.45%</w:t>
            </w:r>
          </w:p>
        </w:tc>
        <w:tc>
          <w:tcPr>
            <w:tcW w:type="dxa" w:w="1728"/>
          </w:tcPr>
          <w:p>
            <w:r>
              <w:t>0.6566</w:t>
            </w:r>
          </w:p>
        </w:tc>
        <w:tc>
          <w:tcPr>
            <w:tcW w:type="dxa" w:w="1728"/>
          </w:tcPr>
          <w:p>
            <w:r>
              <w:t>-24.48%</w:t>
            </w:r>
          </w:p>
        </w:tc>
      </w:tr>
      <w:tr>
        <w:tc>
          <w:tcPr>
            <w:tcW w:type="dxa" w:w="1728"/>
          </w:tcPr>
          <w:p>
            <w:r>
              <w:t>16%</w:t>
            </w:r>
          </w:p>
        </w:tc>
        <w:tc>
          <w:tcPr>
            <w:tcW w:type="dxa" w:w="1728"/>
          </w:tcPr>
          <w:p>
            <w:r>
              <w:t>1.1996</w:t>
            </w:r>
          </w:p>
        </w:tc>
        <w:tc>
          <w:tcPr>
            <w:tcW w:type="dxa" w:w="1728"/>
          </w:tcPr>
          <w:p>
            <w:r>
              <w:t>-14.04%</w:t>
            </w:r>
          </w:p>
        </w:tc>
        <w:tc>
          <w:tcPr>
            <w:tcW w:type="dxa" w:w="1728"/>
          </w:tcPr>
          <w:p>
            <w:r>
              <w:t>0.5656</w:t>
            </w:r>
          </w:p>
        </w:tc>
        <w:tc>
          <w:tcPr>
            <w:tcW w:type="dxa" w:w="1728"/>
          </w:tcPr>
          <w:p>
            <w:r>
              <w:t>-32.73%</w:t>
            </w:r>
          </w:p>
        </w:tc>
      </w:tr>
      <w:tr>
        <w:tc>
          <w:tcPr>
            <w:tcW w:type="dxa" w:w="1728"/>
          </w:tcPr>
          <w:p>
            <w:r>
              <w:t>20%</w:t>
            </w:r>
          </w:p>
        </w:tc>
        <w:tc>
          <w:tcPr>
            <w:tcW w:type="dxa" w:w="1728"/>
          </w:tcPr>
          <w:p>
            <w:r>
              <w:t>1.2093</w:t>
            </w:r>
          </w:p>
        </w:tc>
        <w:tc>
          <w:tcPr>
            <w:tcW w:type="dxa" w:w="1728"/>
          </w:tcPr>
          <w:p>
            <w:r>
              <w:t>-14.04%</w:t>
            </w:r>
          </w:p>
        </w:tc>
        <w:tc>
          <w:tcPr>
            <w:tcW w:type="dxa" w:w="1728"/>
          </w:tcPr>
          <w:p>
            <w:r>
              <w:t>0.4917</w:t>
            </w:r>
          </w:p>
        </w:tc>
        <w:tc>
          <w:tcPr>
            <w:tcW w:type="dxa" w:w="1728"/>
          </w:tcPr>
          <w:p>
            <w:r>
              <w:t>-41.35%</w:t>
            </w:r>
          </w:p>
        </w:tc>
      </w:tr>
    </w:tbl>
    <w:p>
      <w:r>
        <w:t>表 3 展示了市场过滤均线长度测试。MA240 在 Max Sharpe 和最大回撤之间取得较好平衡，因此被保留为最终参数。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市场过滤</w:t>
            </w:r>
          </w:p>
        </w:tc>
        <w:tc>
          <w:tcPr>
            <w:tcW w:type="dxa" w:w="1728"/>
          </w:tcPr>
          <w:p>
            <w:r>
              <w:t>最近 5 年 Sharpe</w:t>
            </w:r>
          </w:p>
        </w:tc>
        <w:tc>
          <w:tcPr>
            <w:tcW w:type="dxa" w:w="1728"/>
          </w:tcPr>
          <w:p>
            <w:r>
              <w:t>最近 5 年最大回撤</w:t>
            </w:r>
          </w:p>
        </w:tc>
        <w:tc>
          <w:tcPr>
            <w:tcW w:type="dxa" w:w="1728"/>
          </w:tcPr>
          <w:p>
            <w:r>
              <w:t>Max Sharpe</w:t>
            </w:r>
          </w:p>
        </w:tc>
        <w:tc>
          <w:tcPr>
            <w:tcW w:type="dxa" w:w="1728"/>
          </w:tcPr>
          <w:p>
            <w:r>
              <w:t>Max 最大回撤</w:t>
            </w:r>
          </w:p>
        </w:tc>
      </w:tr>
      <w:tr>
        <w:tc>
          <w:tcPr>
            <w:tcW w:type="dxa" w:w="1728"/>
          </w:tcPr>
          <w:p>
            <w:r>
              <w:t>MA120</w:t>
            </w:r>
          </w:p>
        </w:tc>
        <w:tc>
          <w:tcPr>
            <w:tcW w:type="dxa" w:w="1728"/>
          </w:tcPr>
          <w:p>
            <w:r>
              <w:t>1.3098</w:t>
            </w:r>
          </w:p>
        </w:tc>
        <w:tc>
          <w:tcPr>
            <w:tcW w:type="dxa" w:w="1728"/>
          </w:tcPr>
          <w:p>
            <w:r>
              <w:t>-12.97%</w:t>
            </w:r>
          </w:p>
        </w:tc>
        <w:tc>
          <w:tcPr>
            <w:tcW w:type="dxa" w:w="1728"/>
          </w:tcPr>
          <w:p>
            <w:r>
              <w:t>0.7371</w:t>
            </w:r>
          </w:p>
        </w:tc>
        <w:tc>
          <w:tcPr>
            <w:tcW w:type="dxa" w:w="1728"/>
          </w:tcPr>
          <w:p>
            <w:r>
              <w:t>-25.13%</w:t>
            </w:r>
          </w:p>
        </w:tc>
      </w:tr>
      <w:tr>
        <w:tc>
          <w:tcPr>
            <w:tcW w:type="dxa" w:w="1728"/>
          </w:tcPr>
          <w:p>
            <w:r>
              <w:t>MA180</w:t>
            </w:r>
          </w:p>
        </w:tc>
        <w:tc>
          <w:tcPr>
            <w:tcW w:type="dxa" w:w="1728"/>
          </w:tcPr>
          <w:p>
            <w:r>
              <w:t>1.3592</w:t>
            </w:r>
          </w:p>
        </w:tc>
        <w:tc>
          <w:tcPr>
            <w:tcW w:type="dxa" w:w="1728"/>
          </w:tcPr>
          <w:p>
            <w:r>
              <w:t>-10.04%</w:t>
            </w:r>
          </w:p>
        </w:tc>
        <w:tc>
          <w:tcPr>
            <w:tcW w:type="dxa" w:w="1728"/>
          </w:tcPr>
          <w:p>
            <w:r>
              <w:t>0.6738</w:t>
            </w:r>
          </w:p>
        </w:tc>
        <w:tc>
          <w:tcPr>
            <w:tcW w:type="dxa" w:w="1728"/>
          </w:tcPr>
          <w:p>
            <w:r>
              <w:t>-20.58%</w:t>
            </w:r>
          </w:p>
        </w:tc>
      </w:tr>
      <w:tr>
        <w:tc>
          <w:tcPr>
            <w:tcW w:type="dxa" w:w="1728"/>
          </w:tcPr>
          <w:p>
            <w:r>
              <w:t>MA200</w:t>
            </w:r>
          </w:p>
        </w:tc>
        <w:tc>
          <w:tcPr>
            <w:tcW w:type="dxa" w:w="1728"/>
          </w:tcPr>
          <w:p>
            <w:r>
              <w:t>1.2582</w:t>
            </w:r>
          </w:p>
        </w:tc>
        <w:tc>
          <w:tcPr>
            <w:tcW w:type="dxa" w:w="1728"/>
          </w:tcPr>
          <w:p>
            <w:r>
              <w:t>-11.10%</w:t>
            </w:r>
          </w:p>
        </w:tc>
        <w:tc>
          <w:tcPr>
            <w:tcW w:type="dxa" w:w="1728"/>
          </w:tcPr>
          <w:p>
            <w:r>
              <w:t>0.7651</w:t>
            </w:r>
          </w:p>
        </w:tc>
        <w:tc>
          <w:tcPr>
            <w:tcW w:type="dxa" w:w="1728"/>
          </w:tcPr>
          <w:p>
            <w:r>
              <w:t>-16.17%</w:t>
            </w:r>
          </w:p>
        </w:tc>
      </w:tr>
      <w:tr>
        <w:tc>
          <w:tcPr>
            <w:tcW w:type="dxa" w:w="1728"/>
          </w:tcPr>
          <w:p>
            <w:r>
              <w:t>MA240</w:t>
            </w:r>
          </w:p>
        </w:tc>
        <w:tc>
          <w:tcPr>
            <w:tcW w:type="dxa" w:w="1728"/>
          </w:tcPr>
          <w:p>
            <w:r>
              <w:t>1.2014</w:t>
            </w:r>
          </w:p>
        </w:tc>
        <w:tc>
          <w:tcPr>
            <w:tcW w:type="dxa" w:w="1728"/>
          </w:tcPr>
          <w:p>
            <w:r>
              <w:t>-7.30%</w:t>
            </w:r>
          </w:p>
        </w:tc>
        <w:tc>
          <w:tcPr>
            <w:tcW w:type="dxa" w:w="1728"/>
          </w:tcPr>
          <w:p>
            <w:r>
              <w:t>0.9206</w:t>
            </w:r>
          </w:p>
        </w:tc>
        <w:tc>
          <w:tcPr>
            <w:tcW w:type="dxa" w:w="1728"/>
          </w:tcPr>
          <w:p>
            <w:r>
              <w:t>-16.20%</w:t>
            </w:r>
          </w:p>
        </w:tc>
      </w:tr>
      <w:tr>
        <w:tc>
          <w:tcPr>
            <w:tcW w:type="dxa" w:w="1728"/>
          </w:tcPr>
          <w:p>
            <w:r>
              <w:t>MA300</w:t>
            </w:r>
          </w:p>
        </w:tc>
        <w:tc>
          <w:tcPr>
            <w:tcW w:type="dxa" w:w="1728"/>
          </w:tcPr>
          <w:p>
            <w:r>
              <w:t>1.3240</w:t>
            </w:r>
          </w:p>
        </w:tc>
        <w:tc>
          <w:tcPr>
            <w:tcW w:type="dxa" w:w="1728"/>
          </w:tcPr>
          <w:p>
            <w:r>
              <w:t>-6.66%</w:t>
            </w:r>
          </w:p>
        </w:tc>
        <w:tc>
          <w:tcPr>
            <w:tcW w:type="dxa" w:w="1728"/>
          </w:tcPr>
          <w:p>
            <w:r>
              <w:t>0.7883</w:t>
            </w:r>
          </w:p>
        </w:tc>
        <w:tc>
          <w:tcPr>
            <w:tcW w:type="dxa" w:w="1728"/>
          </w:tcPr>
          <w:p>
            <w:r>
              <w:t>-14.49%</w:t>
            </w:r>
          </w:p>
        </w:tc>
      </w:tr>
    </w:tbl>
    <w:p>
      <w:r>
        <w:t>卖出缓冲测试显示，将缓冲扩大到 90 名会使组合保留过多已经转弱的股票，降低收益质量，因此最终仍采用 60 名卖出缓冲。调仓频率测试显示，季度调仓比月度调仓更能降低交易噪音和成本，因此最终采用季度调仓。</w:t>
      </w:r>
    </w:p>
    <w:p>
      <w:pPr>
        <w:pStyle w:val="Heading1"/>
      </w:pPr>
      <w:r>
        <w:t>8. 合理性、完整性、有效性与创造性</w:t>
      </w:r>
    </w:p>
    <w:p>
      <w:pPr>
        <w:pStyle w:val="Heading2"/>
      </w:pPr>
      <w:r>
        <w:t>8.1 合理性</w:t>
      </w:r>
    </w:p>
    <w:p>
      <w:r>
        <w:t>策略变量具有明确的事前理由。趋势和突破模块用于捕捉价格与成交活跃度改善，质量模块用于避免基本面较差的股票进入组合，风险模块用于降低波动和回撤。市场过滤和目标波动率并非事后任意调参，而是为了应对 A 股市场长周期波动和阶段性熊市风险。</w:t>
      </w:r>
    </w:p>
    <w:p>
      <w:pPr>
        <w:pStyle w:val="Heading2"/>
      </w:pPr>
      <w:r>
        <w:t>8.2 完整性</w:t>
      </w:r>
    </w:p>
    <w:p>
      <w:r>
        <w:t>本项目覆盖了完整交易系统所需的主要环节：数据准备、股票池过滤、排名系统、模拟交易规则、交易成本、最近 5 年和 Max 回测、敏感性测试、持仓分布、换手率、回撤分析和风险暴露诊断。报告中的图表和表格对应课程要求的提交成果。</w:t>
      </w:r>
    </w:p>
    <w:p>
      <w:pPr>
        <w:pStyle w:val="Heading2"/>
      </w:pPr>
      <w:r>
        <w:t>8.3 有效性</w:t>
      </w:r>
    </w:p>
    <w:p>
      <w:r>
        <w:t>最近 5 年回测中，策略取得 10.74% 年化收益、-7.30% 最大回撤和 1.2014 的 Sharpe，表现较好。Max 回测中，策略年化收益为 7.49%，最大回撤为 -16.20%，Sharpe 为 0.9206。虽然 Max 区间最终净值低于基准，但策略显著降低了回撤和 Beta，体现出较好的防守特征。</w:t>
      </w:r>
    </w:p>
    <w:p>
      <w:pPr>
        <w:pStyle w:val="Heading2"/>
      </w:pPr>
      <w:r>
        <w:t>8.4 创造性</w:t>
      </w:r>
    </w:p>
    <w:p>
      <w:r>
        <w:t>本策略在传统多因子框架上加入了趋势突破、低波风险预算、市场状态过滤和目标波动率控制。相比单纯基本面排序，策略更贴近 A 股市场中趋势和风险状态切换明显的特征。敏感性测试也展示了不同目标波动率和市场过滤窗口对收益、回撤和 Sharpe 的影响，体现了完整的策略迭代过程。</w:t>
      </w:r>
    </w:p>
    <w:p>
      <w:pPr>
        <w:pStyle w:val="Heading1"/>
      </w:pPr>
      <w:r>
        <w:t>9. 局限性</w:t>
      </w:r>
    </w:p>
    <w:p>
      <w:r>
        <w:t>本策略仍存在若干局限。第一，Max 区间 Sharpe 为 0.9206，未超过 1，说明长样本风险调整收益仍有提升空间。第二，市场过滤和目标波动率会降低牛市进攻性，因此在强牛市中可能跑输高 Beta 指数。第三，趋势和突破模块存在一定信息重叠，未来可以加入更独立的成长、盈利修正或分析师预期因子。第四，金融行业被整体剔除，未建立适用于银行、券商和保险的专门因子体系。第五，交易成本对长期净值仍有明显拖累，后续可以研究更低换手的调仓规则。</w:t>
      </w:r>
    </w:p>
    <w:p>
      <w:pPr>
        <w:pStyle w:val="Heading1"/>
      </w:pPr>
      <w:r>
        <w:t>10. 结论</w:t>
      </w:r>
    </w:p>
    <w:p>
      <w:r>
        <w:t>本项目按照课程要求完成了一套 A 股多因子量化交易系统。策略包含清晰的排名算法和模拟交易规则，满足至少 25 只流动性持仓、价格市值流动性过滤、最近 5 年与 Max 回测、交易成本计入和参数敏感性分析等要求。最终策略在最近 5 年取得较好的收益和风险控制，在 Max 区间也表现出较强的回撤控制能力。综合来看，该策略适合作为一套以稳健风险控制为目标的 A 股多因子交易系统。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A股多因子量化交易系统课程报告</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