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6C0D" w14:textId="0A8EBF77" w:rsidR="00C14FE8" w:rsidRDefault="00112B2B">
      <w:r>
        <w:t>Propensity score methods II: Weighting</w:t>
      </w:r>
    </w:p>
    <w:p w14:paraId="5F4905E1" w14:textId="2153FC31" w:rsidR="00112B2B" w:rsidRDefault="00112B2B"/>
    <w:p w14:paraId="2DFEB3FA" w14:textId="2FCCC32A" w:rsidR="00112B2B" w:rsidRDefault="00E47EAA">
      <w:r>
        <w:t>P</w:t>
      </w:r>
      <w:r w:rsidR="00112B2B">
        <w:t>ropensity score</w:t>
      </w:r>
      <w:r w:rsidR="00625D55">
        <w:t xml:space="preserve"> (PS)</w:t>
      </w:r>
      <w:r>
        <w:t xml:space="preserve"> weighting</w:t>
      </w:r>
      <w:r w:rsidR="00112B2B">
        <w:t xml:space="preserve"> method</w:t>
      </w:r>
      <w:r w:rsidR="002E63C8">
        <w:t xml:space="preserve">s </w:t>
      </w:r>
      <w:r>
        <w:t>include</w:t>
      </w:r>
      <w:r w:rsidR="00625D55">
        <w:t xml:space="preserve"> </w:t>
      </w:r>
      <w:r w:rsidR="00112B2B">
        <w:t>inverse probability</w:t>
      </w:r>
      <w:r w:rsidR="002E63C8">
        <w:t xml:space="preserve"> treatment</w:t>
      </w:r>
      <w:r w:rsidR="00112B2B">
        <w:t xml:space="preserve"> weighting</w:t>
      </w:r>
      <w:r w:rsidR="00625D55">
        <w:t xml:space="preserve"> (IPTW)</w:t>
      </w:r>
      <w:proofErr w:type="gramStart"/>
      <w:r w:rsidR="005531E7">
        <w:t xml:space="preserve">. </w:t>
      </w:r>
      <w:r w:rsidR="00112B2B">
        <w:t>,</w:t>
      </w:r>
      <w:proofErr w:type="gramEnd"/>
      <w:r w:rsidR="00112B2B">
        <w:t xml:space="preserve"> matching weighting, overlap weighting. These methods all used propensity score to weight the observations, resulting in a “pseudo” balancing sample. </w:t>
      </w:r>
    </w:p>
    <w:p w14:paraId="5DCE7569" w14:textId="61499A17" w:rsidR="00112B2B" w:rsidRDefault="00112B2B">
      <w:r>
        <w:t>Inverse probability weighting is a common approach, however, often come with a problem with extreme weights. In the case of extreme weight</w:t>
      </w:r>
      <w:r w:rsidR="00E47EAA">
        <w:t>s</w:t>
      </w:r>
      <w:r>
        <w:t xml:space="preserve">, some cases may be weighted much larger than the other cases, thus skew the effect. To deal with extreme weight, </w:t>
      </w:r>
      <w:r w:rsidR="005531E7">
        <w:t xml:space="preserve">one may suggest </w:t>
      </w:r>
      <w:r w:rsidR="002A52BE">
        <w:t>truncating</w:t>
      </w:r>
      <w:r>
        <w:t xml:space="preserve"> the weight</w:t>
      </w:r>
      <w:r w:rsidR="002A52BE">
        <w:t>. B</w:t>
      </w:r>
      <w:r>
        <w:t xml:space="preserve">ut this will exclude some observations, and the cutoff of the “extreme” weight is often artificial. </w:t>
      </w:r>
      <w:r w:rsidR="00267859">
        <w:t>In addition, w</w:t>
      </w:r>
      <w:r w:rsidR="00AD6C39">
        <w:t xml:space="preserve">hen the propensity scores of the </w:t>
      </w:r>
      <w:r w:rsidR="00267859">
        <w:t>treatment and control groups</w:t>
      </w:r>
      <w:r w:rsidR="00AD6C39">
        <w:t xml:space="preserve"> have little area of overlapping,</w:t>
      </w:r>
      <w:r w:rsidR="00267859">
        <w:t xml:space="preserve"> IPTW violates the assumption of common support. </w:t>
      </w:r>
      <w:r w:rsidR="00EA46FF">
        <w:t xml:space="preserve"> Best practice for IPTW can be reviewed in this article (Ref: PC.</w:t>
      </w:r>
      <w:r w:rsidR="00CF2B4D">
        <w:t xml:space="preserve"> </w:t>
      </w:r>
      <w:proofErr w:type="gramStart"/>
      <w:r w:rsidR="00EA46FF">
        <w:t>Austin</w:t>
      </w:r>
      <w:proofErr w:type="gramEnd"/>
      <w:r w:rsidR="00EA46FF">
        <w:t xml:space="preserve"> Stat Med 2015)</w:t>
      </w:r>
      <w:r w:rsidR="00FE45F7">
        <w:t xml:space="preserve">. </w:t>
      </w:r>
      <w:r w:rsidR="00AD6C39">
        <w:t xml:space="preserve"> </w:t>
      </w:r>
      <w:r w:rsidR="002B6DAD">
        <w:t>T</w:t>
      </w:r>
      <w:r w:rsidR="00AD6C39">
        <w:t>he alternative</w:t>
      </w:r>
      <w:r w:rsidR="00FE45F7">
        <w:t xml:space="preserve"> to IPTW</w:t>
      </w:r>
      <w:r w:rsidR="00AD6C39">
        <w:t xml:space="preserve"> </w:t>
      </w:r>
      <w:r>
        <w:t xml:space="preserve">is to use overlapping weight. </w:t>
      </w:r>
      <w:r w:rsidR="00252942">
        <w:t xml:space="preserve">Here is the key reference for overlapping weight: </w:t>
      </w:r>
      <w:hyperlink r:id="rId4" w:history="1">
        <w:r w:rsidR="00252942" w:rsidRPr="00D85CB2">
          <w:rPr>
            <w:rStyle w:val="Hyperlink"/>
          </w:rPr>
          <w:t>https://www2.stat.duke.edu/~fl35/OW.html</w:t>
        </w:r>
      </w:hyperlink>
    </w:p>
    <w:p w14:paraId="006A9B6A" w14:textId="1ECC8DE0" w:rsidR="00252942" w:rsidRDefault="00252942"/>
    <w:p w14:paraId="124DB029" w14:textId="2D063E0D" w:rsidR="00252942" w:rsidRDefault="00252942">
      <w:r>
        <w:t xml:space="preserve">Here is the key </w:t>
      </w:r>
      <w:r w:rsidR="006C60A1">
        <w:t>point</w:t>
      </w:r>
      <w:r>
        <w:t xml:space="preserve"> about the relationship between overlapping weight vs. regular IPTW weight. </w:t>
      </w:r>
      <w:r w:rsidR="006C60A1">
        <w:t xml:space="preserve"> In below, h</w:t>
      </w:r>
      <w:r>
        <w:t xml:space="preserve">(x) will be the numerator, and the regular weight </w:t>
      </w:r>
      <w:r w:rsidR="006C60A1">
        <w:t>(denominator) would</w:t>
      </w:r>
      <w:r>
        <w:t xml:space="preserve"> be the inverse probability weight. </w:t>
      </w:r>
      <w:r w:rsidR="006C60A1">
        <w:t xml:space="preserve">Applying </w:t>
      </w:r>
      <w:r>
        <w:t>a different numerator h(x) will yield different weights (weight (w</w:t>
      </w:r>
      <w:proofErr w:type="gramStart"/>
      <w:r>
        <w:t>1,w</w:t>
      </w:r>
      <w:proofErr w:type="gramEnd"/>
      <w:r>
        <w:t xml:space="preserve">0)). </w:t>
      </w:r>
    </w:p>
    <w:p w14:paraId="05138E2E" w14:textId="136764ED" w:rsidR="00252942" w:rsidRDefault="00252942"/>
    <w:p w14:paraId="00978223" w14:textId="459D7608" w:rsidR="00AD6C39" w:rsidRDefault="00AD6C39">
      <w:r>
        <w:rPr>
          <w:noProof/>
        </w:rPr>
        <w:drawing>
          <wp:inline distT="0" distB="0" distL="0" distR="0" wp14:anchorId="44C5F72F" wp14:editId="530A54C1">
            <wp:extent cx="5943600" cy="3278505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537E" w14:textId="6C4B3A55" w:rsidR="00252942" w:rsidRDefault="00252942"/>
    <w:p w14:paraId="1D09BFB9" w14:textId="1EE5357F" w:rsidR="00AD6C39" w:rsidRDefault="00AD6C39">
      <w:r>
        <w:rPr>
          <w:noProof/>
        </w:rPr>
        <w:lastRenderedPageBreak/>
        <w:drawing>
          <wp:inline distT="0" distB="0" distL="0" distR="0" wp14:anchorId="5A42127E" wp14:editId="5B40D421">
            <wp:extent cx="6098875" cy="3044034"/>
            <wp:effectExtent l="0" t="0" r="0" b="4445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6"/>
                    <a:srcRect l="-2613" t="22594"/>
                    <a:stretch/>
                  </pic:blipFill>
                  <pic:spPr bwMode="auto">
                    <a:xfrm>
                      <a:off x="0" y="0"/>
                      <a:ext cx="6098875" cy="3044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20245" w14:textId="77777777" w:rsidR="00112B2B" w:rsidRDefault="00112B2B"/>
    <w:p w14:paraId="596B6FFF" w14:textId="1FF1ABE2" w:rsidR="00112B2B" w:rsidRDefault="00F50186">
      <w:r>
        <w:t xml:space="preserve">Here the </w:t>
      </w:r>
      <w:r w:rsidR="00806357">
        <w:t>$</w:t>
      </w:r>
      <w:r w:rsidR="009C05CC">
        <w:t xml:space="preserve"> \{w}_{</w:t>
      </w:r>
      <w:proofErr w:type="spellStart"/>
      <w:r w:rsidR="009C05CC">
        <w:t>i</w:t>
      </w:r>
      <w:proofErr w:type="spellEnd"/>
      <w:r w:rsidR="009C05CC">
        <w:t xml:space="preserve">} $ </w:t>
      </w:r>
      <w:r>
        <w:t xml:space="preserve">(weight) can be replaced by different weights in Table 1. </w:t>
      </w:r>
    </w:p>
    <w:p w14:paraId="11B79AF1" w14:textId="4BBFB96F" w:rsidR="00F50186" w:rsidRDefault="00F50186"/>
    <w:p w14:paraId="1539C5C5" w14:textId="479158AA" w:rsidR="00F50186" w:rsidRDefault="00F50186">
      <w:r>
        <w:t>To obtain the “double robust” estimator</w:t>
      </w:r>
      <w:r w:rsidR="000247D4">
        <w:t xml:space="preserve"> (</w:t>
      </w:r>
      <w:proofErr w:type="gramStart"/>
      <w:r w:rsidR="000247D4">
        <w:t>i.e.</w:t>
      </w:r>
      <w:proofErr w:type="gramEnd"/>
      <w:r>
        <w:t xml:space="preserve"> the augmented estimator</w:t>
      </w:r>
      <w:r w:rsidR="000247D4">
        <w:t>)</w:t>
      </w:r>
      <w:r>
        <w:t xml:space="preserve">, we could follow this equation: </w:t>
      </w:r>
    </w:p>
    <w:p w14:paraId="195C6A4F" w14:textId="0967225B" w:rsidR="00F50186" w:rsidRDefault="00F50186"/>
    <w:p w14:paraId="549DC5BD" w14:textId="08671830" w:rsidR="00F50186" w:rsidRDefault="00F50186">
      <w:r>
        <w:rPr>
          <w:noProof/>
        </w:rPr>
        <w:drawing>
          <wp:inline distT="0" distB="0" distL="0" distR="0" wp14:anchorId="5112E2EB" wp14:editId="697D565D">
            <wp:extent cx="5943600" cy="172910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9A36" w14:textId="79EC313C" w:rsidR="00F50186" w:rsidRDefault="00F50186"/>
    <w:p w14:paraId="7529C1B5" w14:textId="2E91F85D" w:rsidR="00F50186" w:rsidRDefault="00F50186" w:rsidP="00F50186">
      <w:pPr>
        <w:autoSpaceDE w:val="0"/>
        <w:autoSpaceDN w:val="0"/>
        <w:adjustRightInd w:val="0"/>
        <w:spacing w:after="0" w:line="240" w:lineRule="auto"/>
        <w:rPr>
          <w:rFonts w:ascii="AdvOTfc06a83e" w:hAnsi="AdvOTfc06a83e" w:cs="AdvOTfc06a83e"/>
          <w:sz w:val="24"/>
          <w:szCs w:val="24"/>
        </w:rPr>
      </w:pPr>
      <w:r>
        <w:t xml:space="preserve">Ref: </w:t>
      </w:r>
      <w:r>
        <w:rPr>
          <w:rFonts w:ascii="AdvOTfc06a83e" w:hAnsi="AdvOTfc06a83e" w:cs="AdvOTfc06a83e"/>
          <w:sz w:val="24"/>
          <w:szCs w:val="24"/>
        </w:rPr>
        <w:t>Liang Li* and Tom Greene</w:t>
      </w:r>
      <w:r>
        <w:rPr>
          <w:rFonts w:ascii="AdvOTfc06a83e" w:hAnsi="AdvOTfc06a83e" w:cs="AdvOTfc06a83e"/>
          <w:sz w:val="24"/>
          <w:szCs w:val="24"/>
        </w:rPr>
        <w:t xml:space="preserve">. </w:t>
      </w:r>
      <w:r w:rsidRPr="00F50186">
        <w:rPr>
          <w:rFonts w:ascii="AdvOTfc06a83e" w:hAnsi="AdvOTfc06a83e" w:cs="AdvOTfc06a83e"/>
          <w:sz w:val="24"/>
          <w:szCs w:val="24"/>
        </w:rPr>
        <w:t>A Weighting Analogue to Pair Matching in Propensity Score</w:t>
      </w:r>
      <w:r w:rsidRPr="00F50186">
        <w:rPr>
          <w:rFonts w:ascii="AdvOTfc06a83e" w:hAnsi="AdvOTfc06a83e" w:cs="AdvOTfc06a83e"/>
          <w:sz w:val="24"/>
          <w:szCs w:val="24"/>
        </w:rPr>
        <w:t xml:space="preserve"> </w:t>
      </w:r>
      <w:r w:rsidRPr="00F50186">
        <w:rPr>
          <w:rFonts w:ascii="AdvOTfc06a83e" w:hAnsi="AdvOTfc06a83e" w:cs="AdvOTfc06a83e"/>
          <w:sz w:val="24"/>
          <w:szCs w:val="24"/>
        </w:rPr>
        <w:t>Analysis</w:t>
      </w:r>
      <w:r>
        <w:rPr>
          <w:rFonts w:ascii="AdvOTfc06a83e" w:hAnsi="AdvOTfc06a83e" w:cs="AdvOTfc06a83e"/>
          <w:sz w:val="24"/>
          <w:szCs w:val="24"/>
        </w:rPr>
        <w:t>. The international Journal of Biostatistics 2013</w:t>
      </w:r>
    </w:p>
    <w:p w14:paraId="30F1C381" w14:textId="45E5FCC9" w:rsidR="00F50186" w:rsidRDefault="00F50186" w:rsidP="00F50186">
      <w:pPr>
        <w:autoSpaceDE w:val="0"/>
        <w:autoSpaceDN w:val="0"/>
        <w:adjustRightInd w:val="0"/>
        <w:spacing w:after="0" w:line="240" w:lineRule="auto"/>
        <w:rPr>
          <w:rFonts w:ascii="AdvOTfc06a83e" w:hAnsi="AdvOTfc06a83e" w:cs="AdvOTfc06a83e"/>
          <w:sz w:val="24"/>
          <w:szCs w:val="24"/>
        </w:rPr>
      </w:pPr>
    </w:p>
    <w:p w14:paraId="231F8B74" w14:textId="3EF20883" w:rsidR="00F50186" w:rsidRPr="00F50186" w:rsidRDefault="00F50186" w:rsidP="00F50186">
      <w:pPr>
        <w:autoSpaceDE w:val="0"/>
        <w:autoSpaceDN w:val="0"/>
        <w:adjustRightInd w:val="0"/>
        <w:spacing w:after="0" w:line="240" w:lineRule="auto"/>
        <w:rPr>
          <w:rFonts w:ascii="AdvOTfc06a83e" w:hAnsi="AdvOTfc06a83e" w:cs="AdvOTfc06a83e"/>
          <w:sz w:val="24"/>
          <w:szCs w:val="24"/>
        </w:rPr>
      </w:pPr>
      <w:r>
        <w:rPr>
          <w:rFonts w:ascii="AdvOTfc06a83e" w:hAnsi="AdvOTfc06a83e" w:cs="AdvOTfc06a83e"/>
          <w:sz w:val="24"/>
          <w:szCs w:val="24"/>
        </w:rPr>
        <w:t xml:space="preserve">Here are the R codes to apply the weights and calculate the IPTW </w:t>
      </w:r>
      <w:proofErr w:type="gramStart"/>
      <w:r>
        <w:rPr>
          <w:rFonts w:ascii="AdvOTfc06a83e" w:hAnsi="AdvOTfc06a83e" w:cs="AdvOTfc06a83e"/>
          <w:sz w:val="24"/>
          <w:szCs w:val="24"/>
        </w:rPr>
        <w:t>ATE</w:t>
      </w:r>
      <w:proofErr w:type="gramEnd"/>
      <w:r>
        <w:rPr>
          <w:rFonts w:ascii="AdvOTfc06a83e" w:hAnsi="AdvOTfc06a83e" w:cs="AdvOTfc06a83e"/>
          <w:sz w:val="24"/>
          <w:szCs w:val="24"/>
        </w:rPr>
        <w:t xml:space="preserve"> or the overlapping weight ATE.</w:t>
      </w:r>
    </w:p>
    <w:sectPr w:rsidR="00F50186" w:rsidRPr="00F5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fc06a83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2B"/>
    <w:rsid w:val="000247D4"/>
    <w:rsid w:val="00112B2B"/>
    <w:rsid w:val="0016443A"/>
    <w:rsid w:val="00252942"/>
    <w:rsid w:val="00267859"/>
    <w:rsid w:val="002A52BE"/>
    <w:rsid w:val="002B6DAD"/>
    <w:rsid w:val="002E63C8"/>
    <w:rsid w:val="003963EE"/>
    <w:rsid w:val="005531E7"/>
    <w:rsid w:val="00625D55"/>
    <w:rsid w:val="006C60A1"/>
    <w:rsid w:val="007B68C9"/>
    <w:rsid w:val="00806357"/>
    <w:rsid w:val="009C05CC"/>
    <w:rsid w:val="00A31A58"/>
    <w:rsid w:val="00AD6C39"/>
    <w:rsid w:val="00AE6642"/>
    <w:rsid w:val="00B50CE0"/>
    <w:rsid w:val="00CF2B4D"/>
    <w:rsid w:val="00E259F6"/>
    <w:rsid w:val="00E47EAA"/>
    <w:rsid w:val="00EA46FF"/>
    <w:rsid w:val="00F50186"/>
    <w:rsid w:val="00FE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0784"/>
  <w15:chartTrackingRefBased/>
  <w15:docId w15:val="{7E891769-EF86-445E-9882-5476A63D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2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2.stat.duke.edu/~fl35/OW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</cp:lastModifiedBy>
  <cp:revision>17</cp:revision>
  <dcterms:created xsi:type="dcterms:W3CDTF">2022-05-24T19:34:00Z</dcterms:created>
  <dcterms:modified xsi:type="dcterms:W3CDTF">2022-05-25T13:29:00Z</dcterms:modified>
</cp:coreProperties>
</file>