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65D0" w14:textId="090603D2" w:rsidR="007535B2" w:rsidRPr="007535B2" w:rsidRDefault="007535B2" w:rsidP="007535B2">
      <w:pPr>
        <w:widowControl/>
        <w:rPr>
          <w:rFonts w:ascii="新細明體" w:eastAsia="新細明體" w:hAnsi="新細明體" w:cs="新細明體"/>
          <w:kern w:val="0"/>
        </w:rPr>
      </w:pPr>
      <w:r w:rsidRPr="007535B2">
        <w:rPr>
          <w:rFonts w:ascii="新細明體" w:eastAsia="新細明體" w:hAnsi="新細明體" w:cs="新細明體"/>
          <w:kern w:val="0"/>
        </w:rPr>
        <w:t>區分學習風格的程序是將12大題各題第一問項部分的總分加總， 得到一個具體經驗的分數（ CE）；各大題第二問項部分的總分加總，得到一個省思觀察的分數（RO）；所有各大題第三問項部分的 總分加總，得到一個抽象經驗的分數（AC）；所有各大題第四問項 部分的總分加總，得到一個主動實驗的分數（AE）。再將抽象經驗 的分數（AC）減去具體經驗的分數（CE）得到「偏好具體經驗或抽 象經驗」維度的分數；主動實驗的分數（AE）減去省思觀察的分數 （RO）得到「偏好主動實驗或省思觀察」維度的分數。最後再以此 二維度的分數分別為X軸及Y軸，將受試者區分為發散型、同化型、 聚斂型和調適型四種學習的風格。</w:t>
      </w:r>
    </w:p>
    <w:p w14:paraId="3E20F866" w14:textId="77777777" w:rsidR="00A41698" w:rsidRPr="007535B2" w:rsidRDefault="007535B2"/>
    <w:sectPr w:rsidR="00A41698" w:rsidRPr="007535B2" w:rsidSect="00D931C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B2"/>
    <w:rsid w:val="007535B2"/>
    <w:rsid w:val="00D27B7B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1F23"/>
  <w15:chartTrackingRefBased/>
  <w15:docId w15:val="{02B77A91-3533-0549-AA8D-4C776E8E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2020-09-30T03:18:00Z</dcterms:created>
  <dcterms:modified xsi:type="dcterms:W3CDTF">2020-09-30T03:19:00Z</dcterms:modified>
</cp:coreProperties>
</file>