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60B243">
      <w:r>
        <w:t>[1] Mancuso N. Large-scale transcriptome-wide association study identifies new prostate cancer risk regions. Nature Communications. 2018;9(1):4079. doi:10.1038/s41467-018-06302-1</w:t>
      </w:r>
    </w:p>
    <w:p w14:paraId="65AE50F4">
      <w:r>
        <w:t>[2] Wu L. A transcriptome-wide association study of 229,000 women identifies new candidate susceptibility genes for breast cancer. Nature Genetics. 2018;50(7):968-978. doi:10.1038/s41588-018-0132-x</w:t>
      </w:r>
    </w:p>
    <w:p w14:paraId="7F40450F">
      <w:r>
        <w:t>[3] Gamazon ER. A gene-based association method for mapping traits using reference transcriptome data. Nature Genetics. 2015;47(9):1091-1098. doi:10.1038/ng.3367</w:t>
      </w:r>
    </w:p>
    <w:p w14:paraId="73E53E99">
      <w:r>
        <w:t>[4] Martin AR. Clinical use of current polygenic risk scores may exacerbate health disparities. Nature Genetics. 2019;51(4):584-591. doi:10.1038/s41588-019-0379-x</w:t>
      </w:r>
    </w:p>
    <w:p w14:paraId="66978CD3">
      <w:r>
        <w:t>[5] Pagnuco I. Transferability of single- and cross-tissue transcriptome imputation models across ancestry groups. Genetic Epidemiology. 2025;49(1):e22611. doi:10.1002/gepi.22611</w:t>
      </w:r>
    </w:p>
    <w:p w14:paraId="72029780">
      <w:r>
        <w:t>[6] Bulik-Sullivan. LD score regression distinguishes confounding from polygenicity in genome-wide association studies. Nature Genetics. 2015;47(3):291-295. doi:10.1038/ng.3211</w:t>
      </w:r>
    </w:p>
    <w:p w14:paraId="1D993F12">
      <w:r>
        <w:t>[7] Auton A. A global reference for human genetic variation. Nature. 2015;526(7571):68-74. doi:10.1038/nature15393</w:t>
      </w:r>
    </w:p>
    <w:p w14:paraId="2C577589">
      <w:r>
        <w:t>[8] The GTEx Consortium. The GTEx Consortium atlas of genetic regulatory effects across human tissues. Science. 2020;369(6509):1318-1330. doi:10.1126/science.aaz1776</w:t>
      </w:r>
    </w:p>
    <w:p w14:paraId="52B72A99">
      <w:r>
        <w:t>[9] Barbeira AN. Integrating predicted transcriptome from multiple tissues improves association detection. PLoS Genetics. 2019;15(1):e1007889. doi:10.1371/journal.pgen.1007889</w:t>
      </w:r>
    </w:p>
    <w:p w14:paraId="0A273B7E">
      <w:r>
        <w:t>[10] Giambartolomei C. Bayesian test for colocalisation between pairs of genetic association studies using summary statistics. PLoS Genetics. 2014;10(5):e1004383. doi:10.1371/journal.pgen.1004383</w:t>
      </w:r>
    </w:p>
    <w:p w14:paraId="4FCF3F4B">
      <w:r>
        <w:t>[11] Porcu E. Mendelian randomization integrating GWAS and eQTL data reveals genetic determinants of complex and clinical traits. Nature Communications. 2019;10(1):3300. doi:10.1038/s41467-019-10936-0</w:t>
      </w:r>
    </w:p>
    <w:p w14:paraId="70A0C874">
      <w:r>
        <w:t>[12] Shi H. Localizing components of shared transethnic genetic architecture of complex traits from GWAS summary data. American Journal of Human Genetics. 2020;106(6):805-817. doi:10.1016/j.ajhg.2020.04.012</w:t>
      </w:r>
    </w:p>
    <w:p w14:paraId="39ABCCE4">
      <w:r>
        <w:t>[13] Wang Y. Global Biobank analyses provide lessons for developing polygenic risk scores across diverse cohorts. Cell Genomics. 2023;3(1):100241. doi:10.1016/j.xgen.2022.100241</w:t>
      </w:r>
    </w:p>
    <w:p w14:paraId="1E681910">
      <w:r>
        <w:t>[14] Võsa U. Large-scale cis- and trans-eQTL analyses identify thousands of genetic loci and polygenic scores that regulate blood gene expression. Nature Genetics. 2021;53(9):1300-1310. doi:10.1038/s41588-021-00913-z</w:t>
      </w:r>
    </w:p>
    <w:p w14:paraId="0783730A">
      <w:r>
        <w:t>[15] Ho DE. MatchIt: nonparametric preprocessing for parametric causal inference. Journal of Statistical Software. 2011;42(8):1-28. doi:10.18637/jss.v042.i08</w:t>
      </w:r>
    </w:p>
    <w:p w14:paraId="2C67FC7F">
      <w:r>
        <w:t>[16] Wilkinson MD. The FAIR guiding principles for scientific data management and stewardship. Scientific Data. 2016;3:160018. doi:10.1038/sdata.2016.18</w:t>
      </w:r>
    </w:p>
    <w:p w14:paraId="6937658C">
      <w:r>
        <w:t>[17] Little J. Strengthening the reporting of genetic association studies (STREGA): an extension of the STROBE statement. Genetic Epidemiology. 2009;33(7):581-598. doi:10.1002/gepi.20410</w:t>
      </w:r>
    </w:p>
    <w:p w14:paraId="3D809021">
      <w:r>
        <w:t>[18] Kurki MI. FinnGen provides genetic insights from a well-phenotyped isolated population. Nature. 2023;613(7944):508-518. doi:10.1038/s41586-022-05473-8</w:t>
      </w:r>
    </w:p>
    <w:p w14:paraId="5D3BA62F">
      <w:r>
        <w:t>[19] Xue Z. Genome-wide association meta-analysis of 88,250 individuals highlights pleiotropic mechanisms of five ocular diseases in UK biobank. EBioMedicine. 2022;82:104161. doi:10.1016/j.ebiom.2022.104161</w:t>
      </w:r>
    </w:p>
    <w:p w14:paraId="6C33AD29">
      <w:r>
        <w:t>[20] Xue A. Genome-wide association analyses identify 143 risk variants and putative regulatory mechanisms for type 2 diabetes. Nature Communications. 2018;9:2941. doi:10.1038/s41467-018-04951-w</w:t>
      </w:r>
    </w:p>
    <w:p w14:paraId="5D7F0445">
      <w:r>
        <w:t>[21] Gerlach PA. High false sign rates in transcriptome-wide association studies. bioRxiv [preprint]. 2025. doi:10.64898/2025.12.19.695550</w:t>
      </w:r>
    </w:p>
    <w:p w14:paraId="224CF69D">
      <w:r>
        <w:t>[22] Fryett JJ. Investigation of prediction accuracy and the impact of sample size, ancestry, and tissue in transcriptome-wide association studies. Genetic Epidemiology. 2020;44(5):425-441. doi:10.1002/gepi.22290</w:t>
      </w:r>
    </w:p>
    <w:p w14:paraId="39ACF424">
      <w:r>
        <w:t>[23] Head ST. CADET: enhanced transcriptome-wide association analyses in admixed samples using eQTL summary data. American Journal of Human Genetics. 2025;112(7):1580-1596. doi:10.1016/j.ajhg.2025.05.010</w:t>
      </w:r>
    </w:p>
    <w:p w14:paraId="629F32FA">
      <w:r>
        <w:t>[24] Liu Y. ACAT: a fast and powerful p-value combination method for rare-variant analysis in sequencing studies. American Journal of Human Genetics. 2019;104(3):410-421. doi:10.1016/j.ajhg.2019.01.002</w:t>
      </w:r>
    </w:p>
    <w:p w14:paraId="68A649A5">
      <w:r>
        <w:t>[25] Zhao S. Adjusting for genetic confounders in transcriptome-wide association studies improves discovery of risk genes of complex traits. Nature Genetics. 2024;56(2):336-347. doi:10.1038/s41588-023-01648-9</w:t>
      </w:r>
    </w:p>
    <w:p w14:paraId="7CED0F32">
      <w:r>
        <w:t>[26] Wainberg M. Opportunities and challenges for transcriptome-wide association studies. Nature Genetics. 2019;51(4):592-599. doi:10.1038/s41588-019-0385-z</w:t>
      </w:r>
    </w:p>
    <w:p w14:paraId="6221C101">
      <w:r>
        <w:t>[27] Sakaue S. A cross-population atlas of genetic associations for 220 human phenotypes. Nature Genetics. 2021;53(10):1415-1424. doi:10.1038/s41588-021-00931-x</w:t>
      </w:r>
    </w:p>
    <w:p w14:paraId="2A97D96A">
      <w:r>
        <w:t>[28] Hukku A. Probabilistic colocalization of genetic variants from complex and molecular traits: promise and limitations. American Journal of Human Genetics. 2021;108(1):25-35. doi:10.1016/j.ajhg.2020.11.012</w:t>
      </w:r>
    </w:p>
    <w:p w14:paraId="0BFC7FCC">
      <w:r>
        <w:t>[29] Yang Y. Comm-S4: a collaborative mixed model using summary-level eQTL and GWAS datasets in transcriptome-wide association studies. Frontiers in Genetics. 2021;12:704538. doi:10.3389/fgene.2021.704538</w:t>
      </w:r>
    </w:p>
    <w:p w14:paraId="1AE9DB30">
      <w:r>
        <w:t>[30] Kerimov N. A compendium of uniformly processed human gene expression and splicing quantitative trait loci. Nature Genetics. 2021;53(9):1290-1299. doi:10.1038/s41588-021-00924-w</w:t>
      </w:r>
    </w:p>
    <w:p w14:paraId="735B55DA">
      <w:r>
        <w:t>[31] Urbut SM. Flexible statistical methods for estimating and testing effects in genomic studies with multiple conditions. Nature Genetics. 2019;51(1):187-195. doi:10.1038/s41588-018-0268-8</w:t>
      </w:r>
    </w:p>
    <w:p w14:paraId="53F91311">
      <w:r>
        <w:t>[32] Dai Q. OTTERS: a powerful TWAS framework leveraging summary-level reference data. Nature Communications. 2023;14:1271. doi:10.1038/s41467-023-36862-w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