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引文匹配分析（逐段，按当前稿件刷新）</w:t>
      </w:r>
    </w:p>
    <w:p>
      <w:r>
        <w:rPr>
          <w:i/>
        </w:rPr>
        <w:t>由 manuscript修改版_引文已插入.docx 当前状态自动刷新生成，供后续核对。</w:t>
      </w:r>
    </w:p>
    <w:p>
      <w:r>
        <w:rPr>
          <w:b/>
        </w:rPr>
        <w:t>[正文第 15 段] 引文: [1], [2], [3]</w:t>
      </w:r>
      <w:r>
        <w:br/>
        <w:t>Transcriptome-wide association studies (TWAS) integrate eQTL data with GWAS summary statistics to identify gene–trait associations [1, 2]. By imputing genetically regulated gene expression and testing its correlation with disease outcomes, TWAS has identified candidate genes across a broad range of complex traits and diseases , building on the PrediXcan framework [3].</w:t>
      </w:r>
    </w:p>
    <w:p>
      <w:r>
        <w:rPr>
          <w:b/>
        </w:rPr>
        <w:t>[正文第 16 段] 引文: [4], [5], [6], [7], [8], [9], [10], [11], [12]</w:t>
      </w:r>
      <w:r>
        <w:br/>
        <w:t>However, the cross-population replicability of TWAS findings remains a major challenge. Multiple studies have reported low replication rates when applying TWAS models across populations of differing ancestry [4, 5]. The recognized sources of these discrepancies—differences in LD structure [6], allele-frequency distributions [7], and eQTL effect-size heterogeneity across tissues [8]—are increasingly well characterized, and methodological extensions such as multi-tissue integration [9], Bayesian colocalization [10], and MR frameworks [11] have been proposed to address specific aspects of them. Quantitative assessments further indicate the severity of the problem: systematic evaluations of PRS and TWAS portability report gene-level cross-population replication rates of only 12%–38% depending on genetic divergence [4, 12], with trans-ethnic genetic-architecture sharing as low as 30–40% between European and East Asian populations [12].</w:t>
      </w:r>
    </w:p>
    <w:p>
      <w:r>
        <w:rPr>
          <w:b/>
        </w:rPr>
        <w:t>[正文第 17 段] 引文: [13]</w:t>
      </w:r>
      <w:r>
        <w:br/>
        <w:t>Even within European-ancestry populations, TWAS findings from the UK Biobank showed only 32% replication in FinnGen when identical eQTL weights were used [13], yet the contribution of eQTL weight-source selection—a modifiable methodological choice—to these replication failures has not been explicitly quantified .</w:t>
      </w:r>
    </w:p>
    <w:p>
      <w:r>
        <w:rPr>
          <w:b/>
        </w:rPr>
        <w:t>[正文第 18 段] 引文: [9], [14]</w:t>
      </w:r>
      <w:r>
        <w:br/>
        <w:t>An important yet surprisingly under-investigated source of confounding lies in the choice of eQTL weight source itself. TWAS analyses typically rely on either (i) tissue-specific eQTL models from GTEx v8 (N≈600, MASHR Bayesian framework) [9] or (ii) large-sample whole-blood cis-eQTLs from eQTLGen (N=31,684, meta-analysis framework) [14]. These two resources differ fundamentally in sample size (by two orders of magnitude), tissue representation, and statistical modeling approach. The consequences of this source selection for cross-population replication have not been systematically quantified .</w:t>
      </w:r>
    </w:p>
    <w:p>
      <w:r>
        <w:rPr>
          <w:b/>
        </w:rPr>
        <w:t>[正文第 19 段] 引文: [15], [16]</w:t>
      </w:r>
      <w:r>
        <w:br/>
        <w:t>Here we address this gap using HOTAIR (HOX transcript antisense RNA)-binding proteins in diabetic microvascular complications as a methodological testbed. We selected this gene set not to advance a biological claim about HOTAIR, but because prior RNA pull-down proteomics delivered a tractable, functionally coherent panel of 30 high-confidence HOTAIR-interacting proteins (Unused ≥2.0, CRAPome-filtered; Table S1). Crucially, the panel spans diverse cellular processes — ribosomal biogenesis (RPS14, RPS25, RPLP0), RNA processing (RNH1, DDX5), protein folding (HSP90AB1, HSP90B1), and cytoskeletal organization (TUBB, CKAP4) — so that if eQTL-source confounding operated uniformly, all genes would be equally affected, whereas systematic bias in specific functional categories would reveal biological modulation of source sensitivity. In an initial S-PrediXcan analysis using GTEx v8 MASHR multi-tissue weights (Nerve_Tibial, N=532; Whole_Blood, N=670), we identified 15 FDR-significant gene–phenotype pairs in FinnGen R13 (DR: 15,353 cases; DN: 6,043; DPN: 4,145), with the ribonuclease inhibitor RNH1 emerging as the top cross-complication candidate (Nerve_Tibial DR: Z=+13.82; P=1.8×10⁻⁴³). This extreme Z-score reflects the sparse MASHR model and must be interpreted cautiously (Table S2; [15, 16], Wu 2026).</w:t>
      </w:r>
    </w:p>
    <w:p>
      <w:r>
        <w:rPr>
          <w:b/>
        </w:rPr>
        <w:t>[正文第 28 段] 引文: [17]</w:t>
      </w:r>
      <w:r>
        <w:br/>
        <w:t>The analytical framework comprises six modules (Figure 7): (a) RNA pull-down MS protein identification with tiered confidence filtering; (b) S-PrediXcan TWAS using GTEx v8 MASHR multi-tissue weights (baseline analysis); (c) S-PrediXcan TWAS using eQTLGen whole-blood cis-eQTL weights (sensitivity analysis); (d) comparison of direction consistency, Spearman correlation, and FDR enrichment across the two eQTL sources; (e) Mahalanobis covariate matching with post-matching enrichment validation; and (f) cross-population replication with heterogeneity assessment. [17]</w:t>
      </w:r>
    </w:p>
    <w:p>
      <w:r>
        <w:rPr>
          <w:b/>
        </w:rPr>
        <w:t>[正文第 30 段] 引文: [18], [19]</w:t>
      </w:r>
      <w:r>
        <w:br/>
        <w:t>FinnGen R13 GWAS summary statistics were retrieved for three diabetic microvascular complications [18]: diabetic retinopathy (DR: DM_RETINOPATHY_EXMORE, 15,353 cases/398,626 controls), diabetic nephropathy (DN: DM_NEPHROPATHY, 6,043 cases/396,166 controls), and diabetic peripheral neuropathy (DPN: DM_NEUROPATHY, 4,145 cases/393,402 controls). Independent DR GWAS summary statistics from the UK Biobank were obtained from [19].</w:t>
      </w:r>
    </w:p>
    <w:p>
      <w:r>
        <w:rPr>
          <w:b/>
        </w:rPr>
        <w:t>[正文第 31 段] 引文: [9]</w:t>
      </w:r>
      <w:r>
        <w:br/>
        <w:t>GTEx v8 MASHR [9] multi-tissue eQTL weights were downloaded from the GTEx Portal for Nerve_Tibial (N=532) and Whole_Blood (N=670). Multi-tissue integration was performed using both Stouffer's weighted Z-meta analysis (weighted by √N per tissue) and ACAT-O (Aggregated Cauchy Association Test – Omnibus), with ACAT-O serving as the primary sensitivity analysis. eQTLGen phase I cis-eQTL summary statistics (N=31,684, whole blood) were obtained from the eQTLGen consortium website. The 1000 Genomes Project Phase 3 European (EUR) panel was used as the LD reference.</w:t>
      </w:r>
    </w:p>
    <w:p>
      <w:r>
        <w:rPr>
          <w:b/>
        </w:rPr>
        <w:t>[正文第 33 段] 引文: [20]</w:t>
      </w:r>
      <w:r>
        <w:br/>
        <w:t>RNA pull-down mass spectrometry was performed using archived blood specimens from the laboratory's existing biospecimen repository. After background subtraction, the analysis identified 69 sample-specific HOTAIR-binding proteins. Of these, 30 high-confidence proteins (Unused score ≥2.0, CRAPome-filtered) were designated as candidate genes. The remaining 39 proteins, together with 15 additional sample-specific proteins (totaling 54), were classified as non-candidate proteins. A further filter requiring an Unused score ≥2.0 was applied to the non-candidate group, excluding 10 low-confidence proteins and retaining 44 high-confidence non-candidate proteins. A separate T2DM control group of 30 genes was selected from published T2DM GWAS associations [20].</w:t>
      </w:r>
    </w:p>
    <w:p>
      <w:r>
        <w:rPr>
          <w:b/>
        </w:rPr>
        <w:t>[正文第 35 段] 引文: [21], [22], [23]</w:t>
      </w:r>
      <w:r>
        <w:br/>
        <w:t>S-PrediXcan v1.0 (MetaXcan v0.8.1, release 2025-04-28) was run separately for GTEx v8 MASHR weights (two tissues: Nerve_Tibial, N=532, and Whole_Blood, N=670) and eQTLGen whole-blood weights (N=31,684). The cis-window extended ±1 Mb from gene transcription start and end sites. Variants were filtered to MAF ≥0.01 and imputation quality INFO ≥0.8. The LD reference panel was the 1000 Genomes Phase 3 European panel (N=503). Only SNPs present in both the eQTL weight file and the GWAS summary statistics were retained for each gene–phenotype pair. For the GTEx v8 MASHR models, pre-computed weights were obtained from PredictDB (accessed March 2024); these models contained a median of 2.3 SNPs per gene (IQR: 1–4). For eQTLGen, phase I cis-eQTL summary statistics were used (median 321 model SNPs per gene, IQR: 140–675). Multi-tissue integration was performed using Stouffer's weighted Z-score meta-analysis (weighted by √N, reported alongside per-tissue results) and ACAT-O (Aggregated Cauchy Association Test – Omnibus). ACAT-O served as the primary method, while Stouffer's approach was used for sensitivity analysis. Multiple-testing correction was applied using the Benjamini–Hochberg FDR (q&lt;0.05) within each analysis domain (group × phenotype × eQTL source). [21, 22, 23]</w:t>
      </w:r>
    </w:p>
    <w:p>
      <w:r>
        <w:rPr>
          <w:b/>
        </w:rPr>
        <w:t>[正文第 36 段] 引文: [24]</w:t>
      </w:r>
      <w:r>
        <w:br/>
        <w:t>ACAT-O was selected as the primary multi-tissue integration method because of its robustness to LD-induced inflation. In contrast to Stouffer's Z-meta method — which assumes independent Z-scores and may yield inflated results when the model SNPs within a gene exhibit high LD (leading to a near-singular covariance) — ACAT-O employs a Cauchy combination framework that is inherently robust to arbitrary correlation structures among the test statistics [24]. For k tissue-level P-values p₁, p₂, ..., pₗ, the ACAT-O test statistic is T = Σᵢ tan{(0.5 − pᵢ)π}, which follows a standard Cauchy distribution under the global null hypothesis of no association in any tissue. [24]</w:t>
      </w:r>
    </w:p>
    <w:p>
      <w:r>
        <w:rPr>
          <w:b/>
        </w:rPr>
        <w:t>[正文第 43 段] 引文: [15]</w:t>
      </w:r>
      <w:r>
        <w:br/>
        <w:t>The matchit R package (v4.5.0) was used to match 30 candidate genes to controls drawn from a pool of 44 high-confidence non-candidate genes on three covariates: log₁₀(gene length), GC content (%), and eQTL SNP count (number of cis-eQTL SNPs per gene used in the S-PrediXcan model). These three covariates were selected because together they capture the principal gene-level determinants of TWAS power and Z-score magnitude: gene length and GC content govern the number of well-imputed cis-SNPs and hence eQTL detection sensitivity, whereas eQTL SNP count directly indexes the density of the genetic signal entering the S-PrediXcan model. We did not match on LD score because the S-PrediXcan weights are computed against a fixed 1000 Genomes EUR LD reference, so LD-score variation across genes is already conditioned out at the imputation stage; the three chosen covariates therefore subsume the major confounders of enrichment rates without introducing a redundant, collinear term. The matching algorithm used was nearest-neighbor matching with Mahalanobis distance, at a 1:1 ratio and without replacement. Post-matching covariate balance was assessed using standardized mean differences (SMD), with absolute values &lt;0.25 indicating adequate balance. All 30 candidate genes were successfully matched; the covariate balance summary is presented in Figure 4, and the individual matching trajectories are presented in Figure S1. [15]</w:t>
      </w:r>
    </w:p>
    <w:p>
      <w:r>
        <w:rPr>
          <w:b/>
        </w:rPr>
        <w:t>[正文第 45 段] 引文: [19]</w:t>
      </w:r>
      <w:r>
        <w:br/>
        <w:t xml:space="preserve">Cross-population DR replication was performed in the UK Biobank using two independent GWAS datasets (GCST90043640 and [19]) with eQTLGen weights. Heterogeneity across the three cohorts (FinnGen and two UK Biobank cohorts) was quantified using Cochran's Q statistic and the I² index. </w:t>
      </w:r>
    </w:p>
    <w:p>
      <w:r>
        <w:rPr>
          <w:b/>
        </w:rPr>
        <w:t>[正文第 58 段] 引文: [16]</w:t>
      </w:r>
      <w:r>
        <w:br/>
        <w:t>FAIR compliance: All data sources are publicly available (FinnGen, GTEx Portal, eQTLGen consortium, UK Biobank, IEU OpenGWAS). Processed data and analysis code are deposited in Zenodo (https://doi.org/10.5281/zenodo.21428347) under the MIT License. Data files use standard formats (tab-delimited GWAS summary statistics, GTF gene annotations, PredictDB-format eQTL weights). The analysis environment is fully containerized (Docker) with pinned dependencies (environment.yml, renv.lock) for complete reproducibility. [16]</w:t>
      </w:r>
    </w:p>
    <w:p>
      <w:r>
        <w:rPr>
          <w:b/>
        </w:rPr>
        <w:t>[正文第 80 段] 引文: [25], [26]</w:t>
      </w:r>
      <w:r>
        <w:br/>
        <w:t>This pattern — characterized by uniformly high enrichment across all three groups under eQTLGen weights, with non-candidate and T2DM control groups showing rates comparable to or exceeding the candidate group — indicates that TWAS enrichment conclusions are critically dependent on eQTL weight-source selection. Notably, the high enrichment of disease-irrelevant control groups under eQTLGen supports the interpretation that eQTLGen-derived TWAS enrichment largely reflects cis-eQTL architecture rather than diabetic-complication biology. This pattern is consistent with causal-TWAS analyses showing that standard TWAS methods yield widespread false positives because genes with correlated or shared cis-eQTL architectures are frequently nominated regardless of causal involvement [25], and with Wainberg et al. [26], who cautioned that TWAS captures genetic regulatory capacity rather than causal disease involvement.</w:t>
      </w:r>
    </w:p>
    <w:p>
      <w:r>
        <w:rPr>
          <w:b/>
        </w:rPr>
        <w:t>[正文第 85 段] 引文: [19], [27]</w:t>
      </w:r>
      <w:r>
        <w:br/>
        <w:t>Cross-population replication was evaluated for DR using eQTLGen weights in the UK Biobank (two independent GWAS datasets: GCST90043640, 308 cases/456,040 controls; [19], 14,147 cases/322,390 controls). For DN, we additionally compared FinnGen results against the independent validation cohort described in [27]; for DPN, no suitable independent GWAS was available at the time of analysis. Among 8 testable genes, 7 (87.5%) showed directionally consistent effects (binomial P=0.035), but none reached nominal significance (all P&gt;0.05).</w:t>
      </w:r>
    </w:p>
    <w:p>
      <w:r>
        <w:rPr>
          <w:b/>
        </w:rPr>
        <w:t>[正文第 86 段] 引文: [19], [27]</w:t>
      </w:r>
      <w:r>
        <w:br/>
        <w:t>RNH1's DR cross-population forest plot revealed extreme between-cohort heterogeneity. Figure 5a compares RNH1 Z-scores between GTEx v8 and eQTLGen across the three complications. For DR, RNH1 shows GTEx |Z|=13.8 versus eQTLGen |Z|=11.6; for DN, GTEx |Z|=7.0 versus eQTLGen |Z|=6.8; for DPN, GTEx |Z|=8.6 versus eQTLGen |Z|=9.8. The consistent trend is that eQTLGen yields larger Z-scores than GTEx for RNH1, yet these larger estimates fail to replicate across populations (Figure 5b). The three-cohort meta-analysis (FinnGen R13 DR Z=+8.50, UKB GCST90043640 Z=+0.57, and [19] Z=+0.95) yielded a fixed-effect Z-score of +3.37 (P=7.4×10⁻⁴). However, significant heterogeneity was observed (Cochran's Q=40.0, df=2, P_het&lt;0.0001, I²=95.0%), and the 95% prediction interval [−4.00, +10.68] included zero, indicating limited replicability in future cohorts. For DN, FinnGen (Z=+4.54) and [27] (Z=+3.59) showed more consistent positive effects.</w:t>
      </w:r>
    </w:p>
    <w:p>
      <w:r>
        <w:rPr>
          <w:b/>
        </w:rPr>
        <w:t>[正文第 97 段] 引文: [25], [26], [28]</w:t>
      </w:r>
      <w:r>
        <w:br/>
        <w:t>Two non-mutually exclusive mechanisms explain this discordance. First, sample-size differences (N≈600 for GTEx vs N=31,684 for eQTLGen) mean that eQTLGen provides more precisely estimated effect sizes and detects many more cis-eQTLs. The ~50-fold sample-size difference corresponds to an approximately 7-fold reduction in standard error, consistent with the observation that genes with dense eQTL architecture (e.g., TUBB, ≈47 SNPs under eQTLGen) show the largest source-dependent discordance. Second, the statistical frameworks differ: GTEx v8 MASHR uses a Bayesian variance-decomposition approach with aggressive SNP-level selection (typically 2–3 SNPs/gene), whereas eQTLGen employs single-variant meta-analysis retaining all cis-SNPs passing genome-wide significance. [28] demonstrated that MASHR’s sparsity can inflate false positives when the true genetic architecture involves multiple independent cis-eQTLs — a condition likely met by many of our candidate genes involved in cellular housekeeping functions. Crucially, because the panel-only axis conflates sample size with the eQTL resource itself, we cannot yet isolate a pure ‘source’ effect; given the ≈50-fold sample-size gap (N≈600 vs N=31,684), sample-size differences are likely the dominant driver of panel-axis discordance, while cohort/technical differences act as secondary contributors. This same mechanism explains why eQTLGen produces high FDR enrichment even in disease-irrelevant genes. The vastly larger eQTLGen sample detects a greater number of weak, near-ubiquitous cis-regulatory signals; because S-PrediXcan imputes regulation from these weights, more genes cross the nominal FDR threshold, generating elevated ‘background’ enrichment that is structural rather than biological. At the same time, eQTLGen models containing hundreds of SNPs per gene are more prone to capture LD-proxy signals — spurious associations driven by linkage rather than true cis-regulation — than the 2–3 SNP MASHR models. Both routes inflate enrichment in non-candidate and housekeeping genes (e.g., TUBB’s extreme eQTLGen Z≈47, driven by 47 cis-SNPs, most of which are likely LD proxies rather than causal). This interpretation is supported by causal-TWAS analyses showing that genes with correlated or shared cis-eQTL architectures are frequently nominated regardless of causal involvement [25], and by Wainberg et al. [26], who cautioned that TWAS captures the capacity for genetically regulated expression rather than causal disease involvement. We stress that this does not render TWAS useless: it establishes that TWAS enrichment must be interpreted with extreme caution, particularly when a large-sample eQTL reference panel (e.g., eQTLGen) is used, and that disease-irrelevant enrichment is a signature of eQTL-architecture-driven, not biology-driven, signal. To isolate the pure contribution of the eQTL resource itself from its confounded sample size, the ideal future design is a sample-size-matched two-source comparison — for example, subsampling eQTLGen to N≈600 to mirror GTEx — or, conversely, evaluating GTEx at GTEx-scale samples where available. Such a design would directly quantify how much of the panel-axis discordance is attributable to sample size versus to genuine resource/cohort differences, and would materially sharpen the decomposition presented here.</w:t>
      </w:r>
    </w:p>
    <w:p>
      <w:r>
        <w:rPr>
          <w:b/>
        </w:rPr>
        <w:t>[正文第 98 段] 引文: [4]</w:t>
      </w:r>
      <w:r>
        <w:br/>
        <w:t>The 60% direction consistency rate is accompanied by a 40% discordance rate that is substantially higher than previously reported cross-population replication rates for TWAS (12–38%; [4]), suggesting that eQTL source selection may play a larger role in non-replicability than population-genetic differences (LD, allele frequency). We note that this 40% estimate originates from the targeted 104-gene HOTAIR-interactome discovery set; the genome-wide SCZ replication (n = 2,511 genes) yielded 31.7% direction discordance, providing a more generalizable benchmark.</w:t>
      </w:r>
    </w:p>
    <w:p>
      <w:r>
        <w:rPr>
          <w:b/>
        </w:rPr>
        <w:t>[正文第 105 段] 引文: [25], [26]</w:t>
      </w:r>
      <w:r>
        <w:br/>
        <w:t>4. Validation with true-negative housekeeping controls. To address concerns that the non-candidate group, composed of HOTAIR-binding proteins, does not constitute a true-negative control, we repeated the S-PrediXcan analysis using 30 constitutively expressed housekeeping control genes (e.g., GAPDH, ACTB, B2M, UBC) selected to have no known biological association with HOTAIR or diabetic complications. Using GTEx v8 Nerve_Tibial weights, housekeeping genes showed a substantially higher FDR enrichment rate (75.0%, 15/20 testable genes) than any of the study's primary gene groups under GTEx v8 — Candidate (44.4%–51.9%), Non-Candidate (45.5%–48.5%), or T2DM Control (42.1%–57.9%). This elevated enrichment is attributable to the strong cis-genetic regulation of housekeeping genes, which yields more reliable eQTL weight estimates and thus stronger TWAS signals regardless of disease relevance. Critically, this finding reinforces rather than undermines our central message: TWAS enrichment is primarily determined by eQTL model properties (sample size, SNP heritability of gene expression) rather than by disease-specific biology. The housekeeping control group therefore serves as a 'baseline upper bound' for enrichment driven purely by eQTL architecture, providing a reference for calibrating candidate-gene enrichment. [25, 26]</w:t>
      </w:r>
    </w:p>
    <w:p>
      <w:r>
        <w:rPr>
          <w:b/>
        </w:rPr>
        <w:t>[正文第 107 段] 引文: [19]</w:t>
      </w:r>
      <w:r>
        <w:br/>
        <w:t>6. Source consistency is necessary but not sufficient: cross-population robustness must also be demonstrated. Our top candidate RNH1 illustrates a failure mode that dual-source analysis alone does not capture: its DR association is strongly positive and direction-consistent under both GTEx (Z = +13.82) and eQTLGen (Z = +11.62), yet it remains non-robust across populations (the FinnGen R13 DR Z-score of +8.50 attenuates sharply in the UK Biobank cohort [GCST90043640 Z = +0.57; [19] Z = +0.95], resulting in an I² of 95% and a 95% prediction interval of [−4.00, +10.68] that crosses zero). Agreement between eQTL weight sources is therefore a necessary but insufficient filter for validity. The cross-population failure is unlikely to reflect eQTL-source choice and more likely stems from population-genetic differences within Europe: FinnGen is predominantly Finnish, whereas the UK Biobank replication cohorts are British, and these populations differ substantially in allele frequencies and LD structure at many loci despite shared continental ancestry — differences that can flip or nullify a TWAS signal even when the European-ancestry GWAS framework is held constant. We recommend extending the dual-source sensitivity standard to a dual-axis validation: a TWAS finding should be reported as robust only when it is (i) consistent across independent eQTL sources and (ii) reproducible across independent disease-cohort GWAS. The complementary extreme, HSP90AB1 in DN (GTEx Z = +24.90 vs eQTLGen Z = −1.46), shows that some signals fail on the source axis while others (like RNH1) fail only on the cohort axis. Spanning both axes before biological interpretation is the most defensible standard for TWAS validation. Crucially, this is a deliberately high bar: many existing TWAS findings — derived from a single eQTL source and a single GWAS cohort — would not satisfy it, which precisely underscores the necessity and urgency of adopting dual-axis validation as standard practice.</w:t>
      </w:r>
    </w:p>
    <w:p>
      <w:r>
        <w:rPr>
          <w:b/>
        </w:rPr>
        <w:t>[正文第 108 段] 引文: [8]</w:t>
      </w:r>
      <w:r>
        <w:br/>
        <w:t>Relationship to existing TWAS methodological literature. Our findings complement several established methodological concerns in TWAS. First, the tissue-mismatch problem — where the optimal eQTL tissue for a given disease is unknown a priori — has been shown to reduce TWAS power by up to 40% when the wrong tissue is used [8]. Our results extend this concern by demonstrating that even within the same tissue (whole blood), eQTL source choice (GTEx small-sample vs eQTLGen large-sample) can lead to contradictory TWAS conclusions.</w:t>
      </w:r>
    </w:p>
    <w:p>
      <w:r>
        <w:rPr>
          <w:b/>
        </w:rPr>
        <w:t>[正文第 109 段] 引文: [8], [9], [14], [21], [29], [30]</w:t>
      </w:r>
      <w:r>
        <w:br/>
        <w:t>Direct reconciliation with apparently contradictory literature. (i) CoMM-S4 [29] applied the same eQTLGen and GTEx v8 whole-blood weights to Biobank Japan traits and, using binary overlap of genome-wide-significant calls, concluded that TWAS is robust to eQTL dataset choice. We do not dispute that result: binary overlap of significant calls is far less sensitive to source-induced sign instability than the continuous Z-score Spearman correlation we employ within a functionally curated 104-gene set. More importantly, our 2×2 decomposition shows the discordance is driven primarily by the resource/sample-size axis — the very axis CoMM-S4's binary-overlap metric is structurally blind to, because it held tissue (whole blood) and the significance-threshold framing constant. The two studies therefore answer different questions and are complementary, not contradictory. (ii) The eQTL Catalogue [30] demonstrated that eQTL effect sizes are highly reproducible across studies within matched tissues, which could be read as contradicting a 'source matters' thesis. We note two distinctions. First, the eQTL Catalogue benchmarks reproducibility at the eQTL level within a fixed tissue context — exactly the condition under which CoMM-S4 also found robustness — whereas our discordance emerges once the resource/sample-size axis is additionally varied (panel-only cell: GTEx whole-blood vs eQTLGen whole-blood, ρ≈0.31) and is maximal when both axes are mismatched (dual cell, ρ≈0.26). Second, the eQTL Catalogue compares eQTL effect sizes directly, whereas TWAS Z-scores are derived from those weights and amplify differences arising from model sparsity (GTEx MASHR: ~2–3 SNPs/gene) versus dense meta-analysis (eQTLGen: median ~625 SNPs/gene). The modest ρ≈0.31 between two whole-blood panels is therefore consistent with high eQTL-level reproducibility yet reflects additional TWAS-imputation-level divergence driven by modeling choices. (iii) [21] recently reported high false sign rates in TWAS (23% for plasma proteins, 33% for complex traits), attributing much discordance to eQTLs in non–trait-relevant tissues tagging GWAS haplotypes. Although their analysis focuses on the axis of trait-relevant versus non-relevant tissues, our tissue axis contrasts whole blood versus nerve tissue — both plausibly relevant to diabetic microvascular complications — rendering the findings orthogonal. Extending our 2×2 decomposition to a trait-relevant versus non-relevant tissue dimension is an important direction for future work. [8, 9, 14, 30]</w:t>
      </w:r>
    </w:p>
    <w:p>
      <w:r>
        <w:rPr>
          <w:b/>
        </w:rPr>
        <w:t>[正文第 110 段] 引文: [6], [25], [26], [28]</w:t>
      </w:r>
      <w:r>
        <w:br/>
        <w:t>Second, [28] demonstrated that GTEx MASHR models' aggressive SNP sparsity (typically 2–3 SNPs per gene) can inflate false-positive colocalization signals when the true genetic architecture of gene expression involves multiple independent cis-eQTLs. Our observation that genes with dense eQTL architecture (e.g., TUBB, ≈47 eQTLGen SNPs) show the largest source-dependent discordance aligns with this theoretical concern. Furthermore, the source-dependent discordance in Z-scores — including the elevation of disease-irrelevant control groups under eQTLGen — is consistent with the broader TWAS robustness literature. Specifically, MASHR sparsity can render individual-gene Z-scores unstable [28]; similarly, causal-TWAS analyses indicate that genes with correlated or shared cis-eQTL architectures are frequently nominated regardless of causal involvement, producing widespread false-positive enrichment that is independent of disease biology [6, 25]. Our eQTLGen results, in which non-candidate and T2DM-control groups achieve enrichment levels comparable to those of candidate genes, exemplify this architecture-driven pattern rather than a candidate-specific loss of signal. As Wainberg et al. [26] emphasized, TWAS detects the capacity for genetically regulated expression rather than causal disease involvement, so architecture-driven enrichment should not be interpreted as biological candidacy.</w:t>
      </w:r>
    </w:p>
    <w:p>
      <w:r>
        <w:rPr>
          <w:b/>
        </w:rPr>
        <w:t>[正文第 111 段] 引文: [9], [10]</w:t>
      </w:r>
      <w:r>
        <w:br/>
        <w:t>Third, multi-tissue TWAS methods [9] and colocalization frameworks [10] have been proposed to increase robustness. Our ACAT-O sensitivity analysis (Figure S3) demonstrated that the choice of multi-tissue integration method (Stouffer vs ACAT-O) had minimal impact on FDR conclusions (15 vs 14 significant pairs), suggesting that eQTL-source confounding stems from factors more fundamental than the tissue-integration strategy.</w:t>
      </w:r>
    </w:p>
    <w:p>
      <w:r>
        <w:rPr>
          <w:b/>
        </w:rPr>
        <w:t>[正文第 112 段] 引文: [22], [31]</w:t>
      </w:r>
      <w:r>
        <w:br/>
        <w:t>Finally, the growing availability of large-sample eQTL resources — including PsychENCODE (N≈1,500 brain samples [31]) and the GTEx v9 update (N≈1,200 across tissues) — will provide additional opportunities to test the generalizability of our findings. Future studies should examine whether eQTL-source discordance diminishes as sample sizes increase to the tens of thousands, or whether fundamental differences in statistical modeling approaches persist, given that sample-size–power relationships in TWAS differ substantially across modeling frameworks [22].</w:t>
      </w:r>
    </w:p>
    <w:p>
      <w:r>
        <w:rPr>
          <w:b/>
        </w:rPr>
        <w:t>[正文第 113 段] 引文: [23], [32]</w:t>
      </w:r>
      <w:r>
        <w:br/>
        <w:t>Positioned within the broader TWAS robustness literature, our resource/sample-size axis complements other axes under active investigation: the ancestry axis (e.g., CADET for admixed cohorts [23]) and the tissue/summary-data axis (e.g., OTTERS [32]). Collectively, these studies show that TWAS fragility is multi-dimensional; the present work isolates eQTL resource/sample-size choice as an under-recognized dimension and supplies an operational 2×2 decomposition that separates it from tissue context.</w:t>
      </w:r>
    </w:p>
    <w:p>
      <w:r>
        <w:rPr>
          <w:b/>
        </w:rPr>
        <w:t>[正文第 115 段] 引文: [19]</w:t>
      </w:r>
      <w:r>
        <w:br/>
        <w:t xml:space="preserve"> RNH1 emerged as the top cross-complication candidate under GTEx single-tissue analysis (DR Nerve_Tibial Z=+13.82, derived from a limited set of cis-SNPs in the GTEx MASHR model; multi-tissue integrated Z=+8.50) and is similarly strongly supported under eQTLGen (DR Z=+11.62, P&lt;0.001), so its DR association is source-consistent rather than source-dependent. We reiterate that this extreme GTEx Z-score (+13.82) arises from a sparse MASHR model with limited cis-SNPs and may be unstable; extreme Z-values in sparse frameworks require cautious interpretation (Table S2). A limitation, however, concerns cross-population consistency: the FinnGen R13 DR signal (Z=+8.50) attenuates sharply in UK Biobank replication (GCST90043640 Z=+0.57; [19] Z=+0.95; I²=95%; Section 2.5), suggesting that the association cannot be considered robust until validated using additional eQTL resources or orthogonal approaches such as protein-level MR. We transparently report all Z-score variants in revised Table 1 to enable readers to assess source-dependent variability.</w:t>
      </w:r>
    </w:p>
    <w:p>
      <w:r>
        <w:rPr>
          <w:b/>
        </w:rPr>
        <w:t>[正文第 172 段] 引文: [19]</w:t>
      </w:r>
      <w:r>
        <w:br/>
        <w:t>Table S5. Cross-population replication results. DR cross-population TWAS Z-scores using eQTLGen weights across FinnGen and UK Biobank (GCST90043640, [19]) cohorts with heterogeneity statistics.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