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2"/>
        </w:rPr>
        <w:t>TABLE S5 | Cross-population replication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Gene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Phenotype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Z-score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Direction vs FinnGen eQTLGen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GCST90043640 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+0.57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Xue et al. 2022 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+0.95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Sakaue et al. 2021 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+3.59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CKAP4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+0.50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HSP90AB1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+0.45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RPS14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+0.38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EEF2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(not significant)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+0.20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Meta-analysis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FinnGen + UKB ieu-b-4803 (k = 2)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+7.13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Random-effects pooled (unweighted mean, SE = 6.18); descriptive at k = 2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Heterogeneity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Cochran Q = 76.5 (df = 1)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I² = 98.7%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2.2e-18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τ = 8.69; 95% PI [-13.77, +28.04] crosses zero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√N_e-weighted re-merge (k = 2)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+10.28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8.9e-25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Weighted Stouffer, weights √(N_e,i); Q = 72.7, I² = 98.6% (m6_ne_weighted_sensitivity.py)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Three-study incl. GCST90043640 (k = 3, unweighted)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+4.95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Q = 105.2, I² = 98.1%; mixes weight sources; completeness only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Three-study incl. GCST90043640 (k = 3, √N_e-weighted)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+10.28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8.6e-25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Q = 72.9, I² = 97.3%; mixes weight sources; completeness only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Direction Consistency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 testable genes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87.5% (7/8)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P = 0.070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Two-sided exact binomial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Group-level direction check (GTEx v8 MASHR weights, Table S5b)</w:t>
            </w:r>
          </w:p>
        </w:tc>
      </w:tr>
    </w:tbl>
    <w:p>
      <w:pPr>
        <w:spacing w:before="120"/>
      </w:pPr>
      <w:r>
        <w:rPr>
          <w:sz w:val="16"/>
        </w:rPr>
        <w:t>Cross-Population Replication Results. Summary of cross-population replication for RNH1 and key candidates across multiple datasets. Columns: Gene, Phenotype, Dataset (FinnGen R13, UKB GCST90043640, UKB Xue et al. 2022, Sakaue et al. 2021 DN), Z-score, P-value, Direction vs FinnGen eQTLGen, and Notes. Includes meta-analysis and heterogeneity metrics (Cochran Q=40.0, I²=95.0%, 95% PI [-4.00, +10.68]).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