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1"/>
        </w:rPr>
        <w:t>TABLE 2 | FDR Enrichment Rates by Group, Phenotype, and eQTL 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Gene Group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Phenotype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GTEx ACAT-O FDR (%)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eQTLGen BH FDR (%)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 Tested (GTEx)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 Tested (eQTLGen)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Candidate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r>
              <w:t>48.1%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71.4%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Non-Candidate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48.5%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75.9%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T2DM Control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57.9%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50.0%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Candidate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51.9%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53.6%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Non-Candidate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45.5%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65.5%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T2DM Control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47.4%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50.0%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Candidate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44.4%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71.4%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Non-Candidate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48.5%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72.4%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T2DM Control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42.1%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62.5%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</w:tbl>
    <w:p>
      <w:pPr>
        <w:spacing w:before="120"/>
      </w:pPr>
      <w:r>
        <w:t>FDR significant rates (%) for three gene groups (Candidate, Non-Candidate, T2DM Control) across DR/DN/DPN under GTEx v8 and eQTLGen weights. All three groups remain substantially FDR-enriched under both eQTL sources (range 44.4%–75.9%): candidates are enriched under eQTLGen (DR 71.4%, DN 53.6%, DPN 71.4%) and GTEx (DR 48.1%, DN 51.9%, DPN 44.4%), with eQTLGen yielding comparable or higher rates than GTEx across all three complications — there is no inversion to 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