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3 | Integrated Evidence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9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Claim</w:t>
            </w:r>
          </w:p>
        </w:tc>
        <w:tc>
          <w:tcPr>
            <w:tcW w:type="dxa" w:w="148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GTEx Evidence</w:t>
            </w:r>
          </w:p>
        </w:tc>
        <w:tc>
          <w:tcPr>
            <w:tcW w:type="dxa" w:w="148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eQTLGen Evidence</w:t>
            </w:r>
          </w:p>
        </w:tc>
        <w:tc>
          <w:tcPr>
            <w:tcW w:type="dxa" w:w="1354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Mahalanobis Confirmation</w:t>
            </w:r>
          </w:p>
        </w:tc>
        <w:tc>
          <w:tcPr>
            <w:tcW w:type="dxa" w:w="148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Cross-Population Replication</w:t>
            </w:r>
          </w:p>
        </w:tc>
        <w:tc>
          <w:tcPr>
            <w:tcW w:type="dxa" w:w="1557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Overall Verdict</w:t>
            </w:r>
          </w:p>
        </w:tc>
      </w:tr>
      <w:tr>
        <w:tc>
          <w:tcPr>
            <w:tcW w:type="dxa" w:w="1693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RNH1 as top cross-complication candidate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Z=+13.82 (DR, Nerve_Tibial); highly significant across DR/DN/DPN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Z=+11.62 (DR, N=31,684); highly significant (P&lt;0.001)</w:t>
            </w:r>
          </w:p>
        </w:tc>
        <w:tc>
          <w:tcPr>
            <w:tcW w:type="dxa" w:w="1354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Not applicable (single gene analysis)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Extreme heterogeneity (I²=95%); inconsistent across FinnGen and UK Biobank datasets</w:t>
            </w:r>
          </w:p>
        </w:tc>
        <w:tc>
          <w:tcPr>
            <w:tcW w:type="dxa" w:w="1557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Source-consistent (GTEx + eQTLGen both strong); cross-population-unreplicable — reassess as population-heterogeneity artifact</w:t>
            </w:r>
          </w:p>
        </w:tc>
      </w:tr>
      <w:tr>
        <w:tc>
          <w:tcPr>
            <w:tcW w:type="dxa" w:w="1693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Candidate gene FDR enrichment (GTEx vs eQTLGen)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48.2% (DR, 13/27), 51.9% (DN, 14/27), 44.4% (DPN, 12/27) FDR enrichment; comparable to non-candidate and T2DM-control groups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t>Per-group BH: 53.6%–71.4% FDR (candidate genes remain enriched under eQTLGen)</w:t>
            </w:r>
          </w:p>
        </w:tc>
        <w:tc>
          <w:tcPr>
            <w:tcW w:type="dxa" w:w="1354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t>Post-matching: candidate FDR enrichment retained under eQTLGen (53.6%–71.4%)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Enrichment pattern driven by eQTL source, not biological group</w:t>
            </w:r>
          </w:p>
        </w:tc>
        <w:tc>
          <w:tcPr>
            <w:tcW w:type="dxa" w:w="1557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Enrichment conclusions critically depend on eQTL source choice</w:t>
            </w:r>
          </w:p>
        </w:tc>
      </w:tr>
      <w:tr>
        <w:tc>
          <w:tcPr>
            <w:tcW w:type="dxa" w:w="1693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Direction consistency between eQTL sources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GTEx baseline available for all 104 genes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eQTLGen-matched pairs for 102 gene-phenotype combinations</w:t>
            </w:r>
          </w:p>
        </w:tc>
        <w:tc>
          <w:tcPr>
            <w:tcW w:type="dxa" w:w="1354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59.5% overall direction consistency; candidate: 37.5%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Spearman ρ=0.289 (P&lt;0.001); 40% of signals change direction</w:t>
            </w:r>
          </w:p>
        </w:tc>
        <w:tc>
          <w:tcPr>
            <w:tcW w:type="dxa" w:w="1557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Single-source TWAS findings are unreliable without dual-source verification</w:t>
            </w:r>
          </w:p>
        </w:tc>
      </w:tr>
      <w:tr>
        <w:tc>
          <w:tcPr>
            <w:tcW w:type="dxa" w:w="1693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Cross-population replication (DR)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Limited due to eQTL model portability constraints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eQTLGen weights used for replication in UK Biobank (2 independent GWAS)</w:t>
            </w:r>
          </w:p>
        </w:tc>
        <w:tc>
          <w:tcPr>
            <w:tcW w:type="dxa" w:w="1354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RNH1: I²=95%; group-level: variable replication success</w:t>
            </w:r>
          </w:p>
        </w:tc>
        <w:tc>
          <w:tcPr>
            <w:tcW w:type="dxa" w:w="1557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Cross-population replication depends on eQTL weight compatibility</w:t>
            </w:r>
          </w:p>
        </w:tc>
      </w:tr>
      <w:tr>
        <w:tc>
          <w:tcPr>
            <w:tcW w:type="dxa" w:w="1693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Pull-down vs literature gene stratification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15 pull-down + 15 literature-derived candidates under GTEx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Same stratification under eQTLGen weights</w:t>
            </w:r>
          </w:p>
        </w:tc>
        <w:tc>
          <w:tcPr>
            <w:tcW w:type="dxa" w:w="1354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No systematic difference between stratification layers</w:t>
            </w:r>
          </w:p>
        </w:tc>
        <w:tc>
          <w:tcPr>
            <w:tcW w:type="dxa" w:w="1489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Discovery source does not predict eQTL-source sensitivity</w:t>
            </w:r>
          </w:p>
        </w:tc>
        <w:tc>
          <w:tcPr>
            <w:tcW w:type="dxa" w:w="1557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Discovery method does not explain eQTL-source discordance</w:t>
            </w:r>
          </w:p>
        </w:tc>
      </w:tr>
    </w:tbl>
    <w:p>
      <w:pPr>
        <w:spacing w:before="120"/>
      </w:pPr>
      <w:r>
        <w:rPr>
          <w:sz w:val="17"/>
        </w:rPr>
        <w:t>Summary of evidence for the study's primary claims across all analytical layers. Claims evaluated: RNH1 as top candidate, candidate gene enrichment, cross-population replicability. For each claim: GTEx evidence, eQTLGen evidence, Mahalanobis matching confirmation, replication evidence, and overall verdict (Reassess / Not supported / Unreplicable).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