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4. Direction-consistency overview between GTEx v8 and eQTLGen across phenotypes and the four cells of the 2×2 source decomposition.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shd w:val="clear" w:fill="D9E2F3"/>
          </w:tcPr>
          <w:p>
            <w:r/>
            <w:r>
              <w:rPr>
                <w:b/>
                <w:sz w:val="18"/>
              </w:rPr>
              <w:t>Panel A. Direction consistency by phenotype (GTEx v8 vs eQTLGen; n = 102 gene–phenotype pairs)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Phenotype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Pairs (n)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Direction-consistent, n (%)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 (61.8)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(58.8)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DPN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(58.8)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Overall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 (59.8)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0"/>
            <w:gridSpan w:val="5"/>
            <w:shd w:val="clear" w:fill="D9E2F3"/>
          </w:tcPr>
          <w:p>
            <w:r/>
            <w:r>
              <w:rPr>
                <w:b/>
                <w:sz w:val="18"/>
              </w:rPr>
              <w:t>Panel B. 2×2 decomposition arm summary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Comparison arm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Design contrast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Spearman 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Direction consistency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Primary (GTEx v8 vs eQTLGen)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panel + tissue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Panel-only (GTEx vs eQTLGen, whole blood)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resource/sample-size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0.31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Tissue-only (GTEx Whole_Blood vs Nerve_Tibial)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tissue context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Dual (GTEx multi-tissue vs eQTLGen)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both axes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58.7</w:t>
            </w:r>
          </w:p>
        </w:tc>
      </w:tr>
    </w:tbl>
    <w:p>
      <w:r>
        <w:rPr>
          <w:i/>
          <w:sz w:val="18"/>
        </w:rPr>
        <w:t>Legend: Direction consistency is defined as sign(Z_GTEx) = sign(Z_eQTLGen) across the 102 gene–phenotype pairs (34 per phenotype: diabetic retinopathy DR, diabetic nephropathy DN, diabetic peripheral neuropathy DPN) drawn from the 104-gene HOTAIR-interactome testbed. Panel A reports the overall and per-phenotype proportion of pairs for which the two eQTL weight sources (GTEx v8 MASHR multi-tissue vs eQTLGen whole-blood) assign the same sign to the TWAS Z-score. Panel B decomposes the overall GTEx-v8 vs eQTLGen discordance into the four arms of the 2×2 source decomposition defined by two orthogonal axes — resource/sample-size (GTEx panel vs eQTLGen whole blood) and tissue context (GTEx Whole_Blood vs Nerve_Tibial) — reporting the number of gene–phenotype pairs, the Spearman ρ between source-specific Z-scores, and the direction-consistency rate for each arm. The primary arm contrasts the two full models; the panel-only and tissue-only arms isolate a single axis; the dual arm mismatches both axes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