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Moso Bamboo DPP4 Inhibitory Peptides Project: Completed-Work Overview</w:t>
      </w:r>
    </w:p>
    <w:p>
      <w:r>
        <w:rPr>
          <w:i/>
        </w:rPr>
        <w:t>Generated: 2026-07-14 update  |  Repo: github.com/wu-yijing/moso-bamboo-DPP4-peptides</w:t>
      </w:r>
    </w:p>
    <w:p>
      <w:pPr>
        <w:pStyle w:val="Heading1"/>
      </w:pPr>
      <w:r>
        <w:t>I. Project goal and reasons for redirection</w:t>
      </w:r>
    </w:p>
    <w:p>
      <w:r>
        <w:rPr>
          <w:b w:val="0"/>
        </w:rPr>
        <w:t>The original yam (Dioscorea polystachya) project collapsed because UniProt had only 20 curated proteins, and re-running virtual digestion locally yielded only 237 peptides (breaking the original 5,230 funnel); moreover 0/7 of the experimentally-validated peptides (FWPQY etc.) could be cleaved from those 20 proteins - the yam could not support a DPP4 claim. We therefore turned to the reference template paper "Discovery of garlic-derived peptides as natural DPP4 inhibitors" (Cheng et al., Bioorganic Chemistry 175, 2026, 109801) and reselected moso bamboo (Moso bamboo) as the study object.</w:t>
      </w:r>
    </w:p>
    <w:p>
      <w:pPr>
        <w:pStyle w:val="Heading1"/>
      </w:pPr>
      <w:r>
        <w:t>II. Step-by-step details (results / software / method)</w:t>
      </w:r>
    </w:p>
    <w:p>
      <w:pPr>
        <w:pStyle w:val="Heading2"/>
      </w:pPr>
      <w:r>
        <w:t>Step 1 - Species identification and protein-pool verification</w:t>
      </w:r>
    </w:p>
    <w:p>
      <w:pPr>
        <w:pStyle w:val="ListBullet"/>
      </w:pPr>
      <w:r>
        <w:t>Result: moso bamboo = Phyllostachys edulis, UniProt taxonomy 38705; curated (Swiss-Prot) = 0 entries, all entries (incl. TrEMBL) = 253 entries, no reference proteome; average 409 aa, total residues 103,409. vs the template garlic (A. sativum) pool of only 113 entries -&gt; moso pool ~2.2x garlic, passes.</w:t>
      </w:r>
    </w:p>
    <w:p>
      <w:pPr>
        <w:pStyle w:val="ListBullet"/>
      </w:pPr>
      <w:r>
        <w:t>Software: curl + UniProt REST API (taxonomy/search, uniprotkb/search, proteomes/search).</w:t>
      </w:r>
    </w:p>
    <w:p>
      <w:pPr>
        <w:pStyle w:val="ListBullet"/>
      </w:pPr>
      <w:r>
        <w:t>Method: first reverse-lookup the species ID from taxonomy (do not trust colloquial names), then count reviewed vs all entries separately; benchmark against the template paper's actual usage.</w:t>
      </w:r>
    </w:p>
    <w:p>
      <w:pPr>
        <w:pStyle w:val="Heading2"/>
      </w:pPr>
      <w:r>
        <w:t>Step 2 - Protein sequence download</w:t>
      </w:r>
    </w:p>
    <w:p>
      <w:pPr>
        <w:pStyle w:val="ListBullet"/>
      </w:pPr>
      <w:r>
        <w:t>Result: moso_253.fasta (131 KB, 253 real sequences, 0 placeholders).</w:t>
      </w:r>
    </w:p>
    <w:p>
      <w:pPr>
        <w:pStyle w:val="ListBullet"/>
      </w:pPr>
      <w:r>
        <w:t>Software: curl + UniProtKB /stream (FASTA format).</w:t>
      </w:r>
    </w:p>
    <w:p>
      <w:pPr>
        <w:pStyle w:val="ListBullet"/>
      </w:pPr>
      <w:r>
        <w:t>Method: query=taxonomy_id:38705, full-library entry pool (not reviewed-only, consistent with the template paper's actual practice).</w:t>
      </w:r>
    </w:p>
    <w:p>
      <w:pPr>
        <w:pStyle w:val="Heading2"/>
      </w:pPr>
      <w:r>
        <w:t>Step 3 - Simulated gastrointestinal digestion (virtual enzymatic hydrolysis)</w:t>
      </w:r>
    </w:p>
    <w:p>
      <w:pPr>
        <w:pStyle w:val="ListBullet"/>
      </w:pPr>
      <w:r>
        <w:t>Result: strict rule (chymotrypsin cuts F/Y/W): 7,988 unique peptides, of which 4,950 are 2-6 aa short peptides; relaxed rule (add cut at L): 7,472 unique peptides, 4,761 2-6 aa. Scale = 3.4x the garlic template (1,442 short peptides).</w:t>
      </w:r>
    </w:p>
    <w:p>
      <w:pPr>
        <w:pStyle w:val="ListBullet"/>
      </w:pPr>
      <w:r>
        <w:t>Software: Python (venv: numpy/scipy/biopython) + self-written script rerun_digestion_moso253_strict.py.</w:t>
      </w:r>
    </w:p>
    <w:p>
      <w:pPr>
        <w:pStyle w:val="ListBullet"/>
      </w:pPr>
      <w:r>
        <w:t>Method: replicate ExPASy PeptideCutter - pepsin (pH1.3) + trypsin + specific chymotrypsin (cuts C-term of F/Y/W, no cut before Pro), merge and dedupe, keep 2-6 aa.</w:t>
      </w:r>
    </w:p>
    <w:p>
      <w:pPr>
        <w:pStyle w:val="Heading2"/>
      </w:pPr>
      <w:r>
        <w:t>Step 4 - PeptideRanker-style scoring + allergen/toxicity filtering</w:t>
      </w:r>
    </w:p>
    <w:p>
      <w:pPr>
        <w:pStyle w:val="ListBullet"/>
      </w:pPr>
      <w:r>
        <w:t>Result: &gt;0.5 candidates 4,333 -&gt; de-allergen (AllerTOP-style) / de-toxic (ToxinPred-style) -&gt; 4,289.</w:t>
      </w:r>
    </w:p>
    <w:p>
      <w:pPr>
        <w:pStyle w:val="ListBullet"/>
      </w:pPr>
      <w:r>
        <w:t>Software: Python (self-written proxy heuristic).</w:t>
      </w:r>
    </w:p>
    <w:p>
      <w:pPr>
        <w:pStyle w:val="ListBullet"/>
      </w:pPr>
      <w:r>
        <w:t>Method: early transparent proxy scoring (based on literature physicochemical features: N-terminal hydrophobicity, Pro content, molecular weight). Because the PeptideRanker official server was long unavailable, and this proxy scored rich-Pro short peptides constantly at 1.000 with zero discrimination, it was replaced by the "iDPPIV-SCM local offline reproduction" (see Section VII); the allergen/toxicity layer is replaced by ToxinPred 3.0 + AlgPred 2.0 official outputs.</w:t>
      </w:r>
    </w:p>
    <w:p>
      <w:pPr>
        <w:pStyle w:val="Heading2"/>
      </w:pPr>
      <w:r>
        <w:t>Step 5 - DPP4 structural-preference narrowing + docking queue</w:t>
      </w:r>
    </w:p>
    <w:p>
      <w:pPr>
        <w:pStyle w:val="ListBullet"/>
      </w:pPr>
      <w:r>
        <w:t>Result: 3-5 aa, N-terminal hydrophobic, position-2 Pro/Ala preference -&gt; candidate pool 2,019; take top-60 into the docking queue.</w:t>
      </w:r>
    </w:p>
    <w:p>
      <w:pPr>
        <w:pStyle w:val="ListBullet"/>
      </w:pPr>
      <w:r>
        <w:t>Software: Python self-written moso_pipeline_filter2.py.</w:t>
      </w:r>
    </w:p>
    <w:p>
      <w:pPr>
        <w:pStyle w:val="ListBullet"/>
      </w:pPr>
      <w:r>
        <w:t>Method: second-pass filtering per known DPP4 inhibitory-peptide structural rules (short peptide, N-terminal hydrophobic, Pro-enriched).</w:t>
      </w:r>
    </w:p>
    <w:p>
      <w:pPr>
        <w:pStyle w:val="Heading2"/>
      </w:pPr>
      <w:r>
        <w:t>Step 6 - Ligand 3D structure preparation (PDBQT)</w:t>
      </w:r>
    </w:p>
    <w:p>
      <w:pPr>
        <w:pStyle w:val="ListBullet"/>
      </w:pPr>
      <w:r>
        <w:t>Result: 60/60 ligand PDBQTs all generated successfully (3-7 KB each, zero NaN).</w:t>
      </w:r>
    </w:p>
    <w:p>
      <w:pPr>
        <w:pStyle w:val="ListBullet"/>
      </w:pPr>
      <w:r>
        <w:t>Software: OpenBabel (pybel / obabel CLI) + RDKit (rescue 8 Arg/His peptides).</w:t>
      </w:r>
    </w:p>
    <w:p>
      <w:pPr>
        <w:pStyle w:val="ListBullet"/>
      </w:pPr>
      <w:r>
        <w:t>Method: main SMILES -&gt; make3D -&gt; PDBQT; 8 Arg/His peptides produced NaN due to missing force-field data -&gt; use RDKit MolFromSequence + AddHs + ETKDGv3 embed + MMFFOptimizeMolecule optimize -&gt; convert to PDBQT.</w:t>
      </w:r>
    </w:p>
    <w:p>
      <w:pPr>
        <w:pStyle w:val="Heading2"/>
      </w:pPr>
      <w:r>
        <w:t>Step 7 - Receptor and pocket preparation</w:t>
      </w:r>
    </w:p>
    <w:p>
      <w:pPr>
        <w:pStyle w:val="ListBullet"/>
      </w:pPr>
      <w:r>
        <w:t>Result: 1WCY_receptor.pdbqt (12,248 atoms, correct format); pocket box moso_box.txt center (62.8, 47.7, 4.8), size 30^3.</w:t>
      </w:r>
    </w:p>
    <w:p>
      <w:pPr>
        <w:pStyle w:val="ListBullet"/>
      </w:pPr>
      <w:r>
        <w:t>Software: RCSB PDB download + OpenBabel (obabel CLI) + awk fixed-column parse.</w:t>
      </w:r>
    </w:p>
    <w:p>
      <w:pPr>
        <w:pStyle w:val="ListBullet"/>
      </w:pPr>
      <w:r>
        <w:t>Method: download DPP4 crystal 1WCY (sitagliptin-bound state) -&gt; convert to PDBQT -&gt; keep only ATOM/TER/END (strip HEADER etc. headers) -&gt; measured ligand A1201 coordinates set the grid center (the template paper's given (54,62,37) is a same-pocket approximation; measured center is more robust).</w:t>
      </w:r>
    </w:p>
    <w:p>
      <w:pPr>
        <w:pStyle w:val="Heading2"/>
      </w:pPr>
      <w:r>
        <w:t>Step 8 - Molecular docking (AutoDock Vina)</w:t>
      </w:r>
    </w:p>
    <w:p>
      <w:r>
        <w:rPr>
          <w:b/>
        </w:rPr>
        <w:t>Result: 60/60 completed. Top 10 (binding free energy dG, kcal/mol):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Peptide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dG (kcal/mol)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LPPQ (Leu-Pro-Pro-Gln)</w:t>
            </w:r>
          </w:p>
        </w:tc>
        <w:tc>
          <w:tcPr>
            <w:tcW w:type="dxa" w:w="2160"/>
          </w:tcPr>
          <w:p>
            <w:r>
              <w:t>-7.472</w:t>
            </w:r>
          </w:p>
        </w:tc>
        <w:tc>
          <w:tcPr>
            <w:tcW w:type="dxa" w:w="2160"/>
          </w:tcPr>
          <w:p>
            <w:r>
              <w:t>medium-strong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APSPE (Ala-Pro-Ser-Pro-Glu)</w:t>
            </w:r>
          </w:p>
        </w:tc>
        <w:tc>
          <w:tcPr>
            <w:tcW w:type="dxa" w:w="2160"/>
          </w:tcPr>
          <w:p>
            <w:r>
              <w:t>-7.150</w:t>
            </w:r>
          </w:p>
        </w:tc>
        <w:tc>
          <w:tcPr>
            <w:tcW w:type="dxa" w:w="2160"/>
          </w:tcPr>
          <w:p>
            <w:r>
              <w:t>medium-strong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LAPSP (Leu-Ala-Pro-Ser-Pro)</w:t>
            </w:r>
          </w:p>
        </w:tc>
        <w:tc>
          <w:tcPr>
            <w:tcW w:type="dxa" w:w="2160"/>
          </w:tcPr>
          <w:p>
            <w:r>
              <w:t>-7.087</w:t>
            </w:r>
          </w:p>
        </w:tc>
        <w:tc>
          <w:tcPr>
            <w:tcW w:type="dxa" w:w="2160"/>
          </w:tcPr>
          <w:p>
            <w:r>
              <w:t>medium-strong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LPGP (Leu-Pro-Gly-Pro)</w:t>
            </w:r>
          </w:p>
        </w:tc>
        <w:tc>
          <w:tcPr>
            <w:tcW w:type="dxa" w:w="2160"/>
          </w:tcPr>
          <w:p>
            <w:r>
              <w:t>-7.075</w:t>
            </w:r>
          </w:p>
        </w:tc>
        <w:tc>
          <w:tcPr>
            <w:tcW w:type="dxa" w:w="2160"/>
          </w:tcPr>
          <w:p>
            <w:r>
              <w:t>medium-strong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LPINP (Leu-Pro-Ile-Asn-Pro)</w:t>
            </w:r>
          </w:p>
        </w:tc>
        <w:tc>
          <w:tcPr>
            <w:tcW w:type="dxa" w:w="2160"/>
          </w:tcPr>
          <w:p>
            <w:r>
              <w:t>-6.988</w:t>
            </w:r>
          </w:p>
        </w:tc>
        <w:tc>
          <w:tcPr>
            <w:tcW w:type="dxa" w:w="2160"/>
          </w:tcPr>
          <w:p>
            <w:r>
              <w:t>medium-strong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LPSP (Leu-Pro-Ser-Pro)</w:t>
            </w:r>
          </w:p>
        </w:tc>
        <w:tc>
          <w:tcPr>
            <w:tcW w:type="dxa" w:w="2160"/>
          </w:tcPr>
          <w:p>
            <w:r>
              <w:t>-6.867</w:t>
            </w:r>
          </w:p>
        </w:tc>
        <w:tc>
          <w:tcPr>
            <w:tcW w:type="dxa" w:w="2160"/>
          </w:tcPr>
          <w:p>
            <w:r>
              <w:t>medium-strong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LPCPR (Leu-Pro-Cys-Pro-Arg)</w:t>
            </w:r>
          </w:p>
        </w:tc>
        <w:tc>
          <w:tcPr>
            <w:tcW w:type="dxa" w:w="2160"/>
          </w:tcPr>
          <w:p>
            <w:r>
              <w:t>-6.835</w:t>
            </w:r>
          </w:p>
        </w:tc>
        <w:tc>
          <w:tcPr>
            <w:tcW w:type="dxa" w:w="2160"/>
          </w:tcPr>
          <w:p>
            <w:r>
              <w:t>medium-strong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LPGDP (Leu-Pro-Gly-Asp-Pro)</w:t>
            </w:r>
          </w:p>
        </w:tc>
        <w:tc>
          <w:tcPr>
            <w:tcW w:type="dxa" w:w="2160"/>
          </w:tcPr>
          <w:p>
            <w:r>
              <w:t>-6.793</w:t>
            </w:r>
          </w:p>
        </w:tc>
        <w:tc>
          <w:tcPr>
            <w:tcW w:type="dxa" w:w="2160"/>
          </w:tcPr>
          <w:p>
            <w:r>
              <w:t>medium-strong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LPDDP (Leu-Pro-Asp-Asp-Pro)</w:t>
            </w:r>
          </w:p>
        </w:tc>
        <w:tc>
          <w:tcPr>
            <w:tcW w:type="dxa" w:w="2160"/>
          </w:tcPr>
          <w:p>
            <w:r>
              <w:t>-6.693</w:t>
            </w:r>
          </w:p>
        </w:tc>
        <w:tc>
          <w:tcPr>
            <w:tcW w:type="dxa" w:w="2160"/>
          </w:tcPr>
          <w:p>
            <w:r>
              <w:t>medium-strong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APSQP (Ala-Pro-Ser-Gln-Pro)</w:t>
            </w:r>
          </w:p>
        </w:tc>
        <w:tc>
          <w:tcPr>
            <w:tcW w:type="dxa" w:w="2160"/>
          </w:tcPr>
          <w:p>
            <w:r>
              <w:t>-6.515</w:t>
            </w:r>
          </w:p>
        </w:tc>
        <w:tc>
          <w:tcPr>
            <w:tcW w:type="dxa" w:w="2160"/>
          </w:tcPr>
          <w:p>
            <w:r>
              <w:t>medium-strong</w:t>
            </w:r>
          </w:p>
        </w:tc>
      </w:tr>
    </w:tbl>
    <w:p>
      <w:r>
        <w:rPr>
          <w:b w:val="0"/>
        </w:rPr>
      </w:r>
    </w:p>
    <w:p>
      <w:pPr>
        <w:pStyle w:val="ListBullet"/>
      </w:pPr>
      <w:r>
        <w:t>Distribution: medium-strong (-6.5 ~ -8) 10 / medium (-5 ~ -6.5) 49 / weak (&gt;-5) 1 (CPPSK -4.856); no strong binding (&lt;-8). Champion LPPQ (Leu-Pro-Pro-Gln, double Pro) fully matches the literature signature of DPP4 inhibitory peptides, dG magnitude comparable to template garlic peptides WPHY/WPQY.</w:t>
      </w:r>
    </w:p>
    <w:p>
      <w:pPr>
        <w:pStyle w:val="ListBullet"/>
      </w:pPr>
      <w:r>
        <w:t>Software: AutoDock Vina 1.2.5 (vina.exe, local Windows).</w:t>
      </w:r>
    </w:p>
    <w:p>
      <w:pPr>
        <w:pStyle w:val="ListBullet"/>
      </w:pPr>
      <w:r>
        <w:t>Method: --exhaustiveness 4 --cpu 2, single docking box 30^3, 9 poses/peptide output, take best mode dG.</w:t>
      </w:r>
    </w:p>
    <w:p>
      <w:pPr>
        <w:pStyle w:val="Heading1"/>
      </w:pPr>
      <w:r>
        <w:t>III. Current deliverables list (data/ and docking/ in repo)</w:t>
      </w:r>
    </w:p>
    <w:p>
      <w:pPr>
        <w:pStyle w:val="ListBullet"/>
      </w:pPr>
      <w:r>
        <w:t>moso_253.fasta (253 proteins)</w:t>
      </w:r>
    </w:p>
    <w:p>
      <w:pPr>
        <w:pStyle w:val="ListBullet"/>
      </w:pPr>
      <w:r>
        <w:t>moso_253_peptides_strict.txt / _peptides.txt (unique-peptide lists)</w:t>
      </w:r>
    </w:p>
    <w:p>
      <w:pPr>
        <w:pStyle w:val="ListBullet"/>
      </w:pPr>
      <w:r>
        <w:t>moso_candidates_pr_filtered.txt (2,019 candidates)</w:t>
      </w:r>
    </w:p>
    <w:p>
      <w:pPr>
        <w:pStyle w:val="ListBullet"/>
      </w:pPr>
      <w:r>
        <w:t>moso_dock_queue.txt (60-peptide docking queue)</w:t>
      </w:r>
    </w:p>
    <w:p>
      <w:pPr>
        <w:pStyle w:val="ListBullet"/>
      </w:pPr>
      <w:r>
        <w:t>1WCY_receptor.pdbqt, moso_box.txt, vina.exe</w:t>
      </w:r>
    </w:p>
    <w:p>
      <w:pPr>
        <w:pStyle w:val="ListBullet"/>
      </w:pPr>
      <w:r>
        <w:t>moso_ligands/ (60 ligand PDBQTs + 60 docked output poses)</w:t>
      </w:r>
    </w:p>
    <w:p>
      <w:pPr>
        <w:pStyle w:val="ListBullet"/>
      </w:pPr>
      <w:r>
        <w:t>moso_dock_results.tsv, moso_dock_ranking.txt (full ranking)</w:t>
      </w:r>
    </w:p>
    <w:p>
      <w:pPr>
        <w:pStyle w:val="Heading1"/>
      </w:pPr>
      <w:r>
        <w:t>IV. Remaining follow-up steps (full template pipeline)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Official PeptideRanker/AllerTOP/ToxinPred validation</w:t>
            </w:r>
          </w:p>
        </w:tc>
        <w:tc>
          <w:tcPr>
            <w:tcW w:type="dxa" w:w="2880"/>
          </w:tcPr>
          <w:p>
            <w:r>
              <w:t>Not done</w:t>
            </w:r>
          </w:p>
        </w:tc>
        <w:tc>
          <w:tcPr>
            <w:tcW w:type="dxa" w:w="2880"/>
          </w:tcPr>
          <w:p>
            <w:r>
              <w:t>currently proxy heuristic, must replace</w:t>
            </w:r>
          </w:p>
        </w:tc>
      </w:tr>
      <w:tr>
        <w:tc>
          <w:tcPr>
            <w:tcW w:type="dxa" w:w="2880"/>
          </w:tcPr>
          <w:p>
            <w:r>
              <w:t>MD + MM/PBSA (GROMACS)</w:t>
            </w:r>
          </w:p>
        </w:tc>
        <w:tc>
          <w:tcPr>
            <w:tcW w:type="dxa" w:w="2880"/>
          </w:tcPr>
          <w:p>
            <w:r>
              <w:t>Not done</w:t>
            </w:r>
          </w:p>
        </w:tc>
        <w:tc>
          <w:tcPr>
            <w:tcW w:type="dxa" w:w="2880"/>
          </w:tcPr>
          <w:p>
            <w:r>
              <w:t>template uses 50-150 ns to validate Top peptides</w:t>
            </w:r>
          </w:p>
        </w:tc>
      </w:tr>
      <w:tr>
        <w:tc>
          <w:tcPr>
            <w:tcW w:type="dxa" w:w="2880"/>
          </w:tcPr>
          <w:p>
            <w:r>
              <w:t>Network pharmacology</w:t>
            </w:r>
          </w:p>
        </w:tc>
        <w:tc>
          <w:tcPr>
            <w:tcW w:type="dxa" w:w="2880"/>
          </w:tcPr>
          <w:p>
            <w:r>
              <w:t>Not done</w:t>
            </w:r>
          </w:p>
        </w:tc>
        <w:tc>
          <w:tcPr>
            <w:tcW w:type="dxa" w:w="2880"/>
          </w:tcPr>
          <w:p>
            <w:r>
              <w:t>SwissTargetPrediction-&gt;STRING-&gt;DAVID</w:t>
            </w:r>
          </w:p>
        </w:tc>
      </w:tr>
      <w:tr>
        <w:tc>
          <w:tcPr>
            <w:tcW w:type="dxa" w:w="2880"/>
          </w:tcPr>
          <w:p>
            <w:r>
              <w:t>In-vitro activity (Gly-Pro-pNA + Caco-2)</w:t>
            </w:r>
          </w:p>
        </w:tc>
        <w:tc>
          <w:tcPr>
            <w:tcW w:type="dxa" w:w="2880"/>
          </w:tcPr>
          <w:p>
            <w:r>
              <w:t>Not done</w:t>
            </w:r>
          </w:p>
        </w:tc>
        <w:tc>
          <w:tcPr>
            <w:tcW w:type="dxa" w:w="2880"/>
          </w:tcPr>
          <w:p>
            <w:r>
              <w:t>true activity endpoint, needs experiment</w:t>
            </w:r>
          </w:p>
        </w:tc>
      </w:tr>
    </w:tbl>
    <w:p>
      <w:pPr>
        <w:pStyle w:val="Heading1"/>
      </w:pPr>
      <w:r>
        <w:t>V. Limitations that must be disclosed truthfully</w:t>
      </w:r>
    </w:p>
    <w:p>
      <w:pPr>
        <w:pStyle w:val="ListBullet"/>
      </w:pPr>
      <w:r>
        <w:t>Activity pre-screening scoring is replaced by the iDPPIV-SCM local offline reproduction (literature-validated, offline-reproducible, interpretable) instead of the original proxy heuristic; the allergen/toxicity layer uses ToxinPred 3.0 + AlgPred 2.0 official outputs. The iDPPIV-SCM training benchmark has length confounding (negative samples mostly long peptides/proteins), so it is used only for candidate ranking/soft filtering, not deterministic activity judgment.</w:t>
      </w:r>
    </w:p>
    <w:p>
      <w:pPr>
        <w:pStyle w:val="ListBullet"/>
      </w:pPr>
      <w:r>
        <w:t>Docking is a static dG estimate that needs MD/MM-PBSA + in-vitro experiments for confirmation; cannot be taken directly as an activity conclusion.</w:t>
      </w:r>
    </w:p>
    <w:p>
      <w:pPr>
        <w:pStyle w:val="ListBullet"/>
      </w:pPr>
      <w:r>
        <w:t>Moso bamboo has 0 manually-reviewed entries (all TrEMBL predictions); Methods must truthfully disclose the source and predictive nature (the garlic template is also ~95% TrEMBL, acceptable).</w:t>
      </w:r>
    </w:p>
    <w:p>
      <w:pPr>
        <w:pStyle w:val="ListBullet"/>
      </w:pPr>
      <w:r>
        <w:t>WPHY/WPQY/VAPGW are garlic peptides and must not be used for moso true-value validation.</w:t>
      </w:r>
    </w:p>
    <w:p>
      <w:pPr>
        <w:pStyle w:val="Heading1"/>
      </w:pPr>
      <w:r>
        <w:t>VI. Project software stack summary</w:t>
      </w:r>
    </w:p>
    <w:p>
      <w:pPr>
        <w:pStyle w:val="ListBullet"/>
      </w:pPr>
      <w:r>
        <w:t>UniProt REST API (curl): taxonomy/search, uniprotkb/search, proteomes/search, uniprotkb/stream</w:t>
      </w:r>
    </w:p>
    <w:p>
      <w:pPr>
        <w:pStyle w:val="ListBullet"/>
      </w:pPr>
      <w:r>
        <w:t>pdftotext (poppler): extract reference template paper text</w:t>
      </w:r>
    </w:p>
    <w:p>
      <w:pPr>
        <w:pStyle w:val="ListBullet"/>
      </w:pPr>
      <w:r>
        <w:t>Python venv (numpy, scipy, biopython, openbabel, rdkit, pandas)</w:t>
      </w:r>
    </w:p>
    <w:p>
      <w:pPr>
        <w:pStyle w:val="ListBullet"/>
      </w:pPr>
      <w:r>
        <w:t>OpenBabel (pybel / obabel CLI): 3D peptide conformation generation, PDB-&gt;PDBQT conversion</w:t>
      </w:r>
    </w:p>
    <w:p>
      <w:pPr>
        <w:pStyle w:val="ListBullet"/>
      </w:pPr>
      <w:r>
        <w:t>RDKit: MolFromSequence rescue for Arg/His peptide NaN, MMFF optimization</w:t>
      </w:r>
    </w:p>
    <w:p>
      <w:pPr>
        <w:pStyle w:val="ListBullet"/>
      </w:pPr>
      <w:r>
        <w:t>AutoDock Vina 1.2.5 (vina.exe): molecular docking</w:t>
      </w:r>
    </w:p>
    <w:p>
      <w:pPr>
        <w:pStyle w:val="ListBullet"/>
      </w:pPr>
      <w:r>
        <w:t>awk / Python: PDB coordinate parsing, pocket-center extraction, receptor PDBQT header cleanup</w:t>
      </w:r>
    </w:p>
    <w:p>
      <w:pPr>
        <w:pStyle w:val="Heading1"/>
      </w:pPr>
      <w:r>
        <w:t>VII. iDPPIV-SCM module - offline activity pre-screening (replaces PeptideRanker proxy scoring)</w:t>
      </w:r>
    </w:p>
    <w:p>
      <w:r>
        <w:rPr>
          <w:b/>
        </w:rPr>
        <w:t>Background and motivation</w:t>
      </w:r>
    </w:p>
    <w:p>
      <w:pPr>
        <w:pStyle w:val="ListBullet"/>
      </w:pPr>
      <w:r>
        <w:t>The PeptideRanker official server was long unavailable; and it is a "generic bioactivity" scorer, not optimal for DPP-4 specifically. The original proxy heuristic scored rich-Pro short peptides constantly at 1.000 with zero discrimination. Hence we switched to the DPP-IV-dedicated, fully-offline-reproducible iDPPIV-SCM (Scoring Card Method).</w:t>
      </w:r>
    </w:p>
    <w:p>
      <w:r>
        <w:rPr>
          <w:b/>
        </w:rPr>
        <w:t>Offline reproduction method</w:t>
      </w:r>
    </w:p>
    <w:p>
      <w:pPr>
        <w:pStyle w:val="ListBullet"/>
      </w:pPr>
      <w:r>
        <w:t>Dataset: downloaded the iDPPIV homologous benchmark from the public repo (WeiLab-BioChem/Structural-DPP-IV) - train 532+532, independent test 133+133, all standard 20 amino acids.</w:t>
      </w:r>
    </w:p>
    <w:p>
      <w:pPr>
        <w:pStyle w:val="ListBullet"/>
      </w:pPr>
      <w:r>
        <w:t>Scoring card: locally recompute the global amino-acid-composition propensity score P(a)=log2(pos-frequency/neg-frequency); summing per-residue propensities over a peptide gives a continuous score (consistent with the paper abstract "propensity scores of amino acids"). Zero network, zero external dependency, fully reproducible.</w:t>
      </w:r>
    </w:p>
    <w:p>
      <w:pPr>
        <w:pStyle w:val="ListBullet"/>
      </w:pPr>
      <w:r>
        <w:t>Interpretability: the learned propensities are biologically self-consistent - Pro scores +0.875 at the top (DPP-4 S1 pocket is specific to Pro; food-source DPP-4 inhibitory peptides are generally Pro-rich); Cys -2.482 strongly negative.</w:t>
      </w:r>
    </w:p>
    <w:p>
      <w:r>
        <w:rPr>
          <w:b/>
        </w:rPr>
        <w:t>Reproduction accuracy and key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Independent test ACC</w:t>
            </w:r>
          </w:p>
        </w:tc>
        <w:tc>
          <w:tcPr>
            <w:tcW w:type="dxa" w:w="4320"/>
          </w:tcPr>
          <w:p>
            <w:r>
              <w:t>~0.771 (literature reports ~0.797)</w:t>
            </w:r>
          </w:p>
        </w:tc>
      </w:tr>
      <w:tr>
        <w:tc>
          <w:tcPr>
            <w:tcW w:type="dxa" w:w="4320"/>
          </w:tcPr>
          <w:p>
            <w:r>
              <w:t>Training-benchmark length confounding</w:t>
            </w:r>
          </w:p>
        </w:tc>
        <w:tc>
          <w:tcPr>
            <w:tcW w:type="dxa" w:w="4320"/>
          </w:tcPr>
          <w:p>
            <w:r>
              <w:t>positives mostly short peptides, negatives mostly long peptides/proteins; a pure "short=positive" baseline already reaches 0.820</w:t>
            </w:r>
          </w:p>
        </w:tc>
      </w:tr>
      <w:tr>
        <w:tc>
          <w:tcPr>
            <w:tcW w:type="dxa" w:w="4320"/>
          </w:tcPr>
          <w:p>
            <w:r>
              <w:t>Implication for moso project</w:t>
            </w:r>
          </w:p>
        </w:tc>
        <w:tc>
          <w:tcPr>
            <w:tcW w:type="dxa" w:w="4320"/>
          </w:tcPr>
          <w:p>
            <w:r>
              <w:t>all candidates are 2-6 aa short peptides, length signal fails uniformly -&gt; SCM score reflects genuine residue-composition signal</w:t>
            </w:r>
          </w:p>
        </w:tc>
      </w:tr>
      <w:tr>
        <w:tc>
          <w:tcPr>
            <w:tcW w:type="dxa" w:w="4320"/>
          </w:tcPr>
          <w:p>
            <w:r>
              <w:t>iDPPIV score vs Vina dG correlation</w:t>
            </w:r>
          </w:p>
        </w:tc>
        <w:tc>
          <w:tcPr>
            <w:tcW w:type="dxa" w:w="4320"/>
          </w:tcPr>
          <w:p>
            <w:r>
              <w:t>Spearman rho = 0.067 (~0): activity propensity and binding free energy are orthogonal dimensions</w:t>
            </w:r>
          </w:p>
        </w:tc>
      </w:tr>
    </w:tbl>
    <w:p>
      <w:r>
        <w:rPr>
          <w:b w:val="0"/>
        </w:rPr>
      </w:r>
    </w:p>
    <w:p>
      <w:r>
        <w:rPr>
          <w:b/>
        </w:rPr>
        <w:t>Funnel and docking comparison</w:t>
      </w:r>
    </w:p>
    <w:p>
      <w:pPr>
        <w:pStyle w:val="ListBullet"/>
      </w:pPr>
      <w:r>
        <w:t>Rescore all 4,950 2-6 aa short peptides (value range [-7.243, 4.431], mean -0.704, std 1.246, 68.7% predicted as DPP-IV inhibitory peptides), completely replacing the constant-1.000 proxy score.</w:t>
      </w:r>
    </w:p>
    <w:p>
      <w:pPr>
        <w:pStyle w:val="ListBullet"/>
      </w:pPr>
      <w:r>
        <w:t>Feed the two-stage pipeline: 4,950 short peptides -&gt; iDPPIV-prioritized candidates -&gt; DPP4 structural-preference narrowing 565 -&gt; Top-60 docking queue (overlaps 32 with the old proxy queue, adds 28 new).</w:t>
      </w:r>
    </w:p>
    <w:p>
      <w:pPr>
        <w:pStyle w:val="ListBullet"/>
      </w:pPr>
      <w:r>
        <w:t>Fair re-docking (both old and new queues use the same RDKit MMFF94 pipeline, eliminating preparation confounding): at the set level the iDPPIV queue enriches stronger-binding peptides - dG&lt;=-6.0 share 33.3% vs old 20.0%, and among the 32 overlapping peptides 21 are better in the new queue; but Delta=-0.35 kcal/mol falls within Vina's +/-0.5~1.0 noise band, so we do not overclaim "significantly better binding".</w:t>
      </w:r>
    </w:p>
    <w:p>
      <w:pPr>
        <w:pStyle w:val="ListBullet"/>
      </w:pPr>
      <w:r>
        <w:t>Core conclusion: iDPPIV-SCM is an activity pre-screener (classification), not a binding-affinity predictor; together with Vina docking it forms a two-stage orthogonal filter. Its real value is upgrading the "down-server-dependent + zero-discrimination proxy" into a "literature-validated, offline-reproducible, interpretable" activity score - a hard methodological upgrade.</w:t>
      </w:r>
    </w:p>
    <w:p>
      <w:r>
        <w:rPr>
          <w:b/>
        </w:rPr>
        <w:t>Related deliverables</w:t>
      </w:r>
    </w:p>
    <w:p>
      <w:pPr>
        <w:pStyle w:val="ListBullet"/>
      </w:pPr>
      <w:r>
        <w:t>scripts/idppiv_scm/ (scoring-card model model.py + public dataset + validation/scoring scripts); data/moso_candidates_idppiv_short.tsv (4,950 short-peptide scores); docking/moso_dock_results_idppiv_clean.tsv, moso_dock_results_old_rdkit.tsv, moso_dock_compare.tsv; docs/methodology_replacement_report.md.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