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毛竹 DPP4 抑制肽项目：已完成工作总览</w:t>
      </w:r>
    </w:p>
    <w:p>
      <w:r>
        <w:rPr>
          <w:i/>
        </w:rPr>
        <w:t>生成时间：2026-07-14 更新  |  仓库：github.com/wu-yijing/moso-bamboo-DPP4-peptides</w:t>
      </w:r>
    </w:p>
    <w:p>
      <w:pPr>
        <w:pStyle w:val="Heading1"/>
      </w:pPr>
      <w:r>
        <w:t>一、立项目标与转向原因</w:t>
      </w:r>
    </w:p>
    <w:p>
      <w:r>
        <w:rPr>
          <w:b w:val="0"/>
        </w:rPr>
        <w:t>原山药（Dioscorea polystachya）项目因 UniProt 仅 20 条 curated 蛋白、本机重跑虚拟消化只能产出 237 条肽（崩溃于原 5,230 漏斗），且 7 条实验验证肽（FWPQY 等）0/7 可由这 20 条蛋白切出 → 山药无法支撑 DPP4 声明。遂转向参考模板论文《Discovery of garlic-derived peptides as natural DPP4 inhibitors》（Cheng et al., Bioorganic Chemistry 175, 2026, 109801）方法，重选毛竹（Moso bamboo）为研究对象。</w:t>
      </w:r>
    </w:p>
    <w:p>
      <w:pPr>
        <w:pStyle w:val="Heading1"/>
      </w:pPr>
      <w:r>
        <w:t>二、各步骤明细（结果 / 软件 / 方法）</w:t>
      </w:r>
    </w:p>
    <w:p>
      <w:pPr>
        <w:pStyle w:val="Heading2"/>
      </w:pPr>
      <w:r>
        <w:t>步骤 1 — 物种鉴定与蛋白池核实</w:t>
      </w:r>
    </w:p>
    <w:p>
      <w:pPr>
        <w:pStyle w:val="ListBullet"/>
      </w:pPr>
      <w:r>
        <w:t>结果：毛竹 = Phyllostachys edulis，UniProt taxonomy 38705；curated（Swiss-Prot）= 0 条，全部条目（含 TrEMBL）= 253 条，无参考蛋白质组；平均 409 aa，总残基 103,409。对比模板大蒜（A. sativum）仅 113 条池 → 毛竹池约为大蒜 2.2 倍，达标。</w:t>
      </w:r>
    </w:p>
    <w:p>
      <w:pPr>
        <w:pStyle w:val="ListBullet"/>
      </w:pPr>
      <w:r>
        <w:t>软件：curl + UniProt REST API（taxonomy/search、uniprotkb/search、proteomes/search）。</w:t>
      </w:r>
    </w:p>
    <w:p>
      <w:pPr>
        <w:pStyle w:val="ListBullet"/>
      </w:pPr>
      <w:r>
        <w:t>方法：先 taxonomy 反查物种编号（勿信俗名），再分别统计 reviewed vs all 条目数；基准对照模板论文实际用量。</w:t>
      </w:r>
    </w:p>
    <w:p>
      <w:pPr>
        <w:pStyle w:val="Heading2"/>
      </w:pPr>
      <w:r>
        <w:t>步骤 2 — 蛋白序列下载</w:t>
      </w:r>
    </w:p>
    <w:p>
      <w:pPr>
        <w:pStyle w:val="ListBullet"/>
      </w:pPr>
      <w:r>
        <w:t>结果：moso_253.fasta（131 KB，253 条真实序列，0 占位符）。</w:t>
      </w:r>
    </w:p>
    <w:p>
      <w:pPr>
        <w:pStyle w:val="ListBullet"/>
      </w:pPr>
      <w:r>
        <w:t>软件：curl + UniProtKB /stream（FASTA 格式）。</w:t>
      </w:r>
    </w:p>
    <w:p>
      <w:pPr>
        <w:pStyle w:val="ListBullet"/>
      </w:pPr>
      <w:r>
        <w:t>方法：query=taxonomy_id:38705，全库条目池（非纯 reviewed，与模板论文实际做法一致）。</w:t>
      </w:r>
    </w:p>
    <w:p>
      <w:pPr>
        <w:pStyle w:val="Heading2"/>
      </w:pPr>
      <w:r>
        <w:t>步骤 3 — 模拟胃肠消化（虚拟酶解）</w:t>
      </w:r>
    </w:p>
    <w:p>
      <w:pPr>
        <w:pStyle w:val="ListBullet"/>
      </w:pPr>
      <w:r>
        <w:t>结果：严格规则（chymotrypsin 切 F/Y/W）：唯一肽 7,988 条，其中 2–6 aa 短肽 4,950 条；宽松规则（加切 L）：唯一肽 7,472 条，2–6 aa 4,761 条。规模 = 大蒜模板（1,442 短肽）的 3.4 倍。</w:t>
      </w:r>
    </w:p>
    <w:p>
      <w:pPr>
        <w:pStyle w:val="ListBullet"/>
      </w:pPr>
      <w:r>
        <w:t>软件：Python（venv：numpy/scipy/biopython）+ 自写脚本 rerun_digestion_moso253_strict.py。</w:t>
      </w:r>
    </w:p>
    <w:p>
      <w:pPr>
        <w:pStyle w:val="ListBullet"/>
      </w:pPr>
      <w:r>
        <w:t>方法：复刻 ExPASy PeptideCutter —— pepsin (pH1.3) + trypsin + 特异性 chymotrypsin（切 F/Y/W 的 C 端，Pro 前不停），合并去重，保留 2–6 aa。</w:t>
      </w:r>
    </w:p>
    <w:p>
      <w:pPr>
        <w:pStyle w:val="Heading2"/>
      </w:pPr>
      <w:r>
        <w:t>步骤 4 — PeptideRanker 风格打分 + 过敏原/毒性过滤</w:t>
      </w:r>
    </w:p>
    <w:p>
      <w:pPr>
        <w:pStyle w:val="ListBullet"/>
      </w:pPr>
      <w:r>
        <w:t>结果：&gt;0.5 候选 4,333 条 → 去过敏原（AllerTOP 风格）/ 去毒（ToxinPred 风格）→ 4,289 条。</w:t>
      </w:r>
    </w:p>
    <w:p>
      <w:pPr>
        <w:pStyle w:val="ListBullet"/>
      </w:pPr>
      <w:r>
        <w:t>软件：Python（自写代理启发式）。</w:t>
      </w:r>
    </w:p>
    <w:p>
      <w:pPr>
        <w:pStyle w:val="ListBullet"/>
      </w:pPr>
      <w:r>
        <w:t>方法：早期采用透明代理打分（基于文献理化特征：N 端疏水、Pro 含量、分子量）。因 PeptideRanker 官方服务器长期不可用，且该代理分对富 Pro 短肽恒为 1.000、零区分力，已由「iDPPIV-SCM 本地离线复现」替代（见第七节），过敏/毒性层由 ToxinPred 3.0 + AlgPred 2.0 官方输出替代。</w:t>
      </w:r>
    </w:p>
    <w:p>
      <w:pPr>
        <w:pStyle w:val="Heading2"/>
      </w:pPr>
      <w:r>
        <w:t>步骤 5 — DPP4 结构偏好收窄 + 对接队列</w:t>
      </w:r>
    </w:p>
    <w:p>
      <w:pPr>
        <w:pStyle w:val="ListBullet"/>
      </w:pPr>
      <w:r>
        <w:t>结果：3–5 aa、N 端疏水、第 2 位 Pro/Ala 优先 → 候选池 2,019 条；取优先 60 条进入对接队列。</w:t>
      </w:r>
    </w:p>
    <w:p>
      <w:pPr>
        <w:pStyle w:val="ListBullet"/>
      </w:pPr>
      <w:r>
        <w:t>软件：Python 自写 moso_pipeline_filter2.py。</w:t>
      </w:r>
    </w:p>
    <w:p>
      <w:pPr>
        <w:pStyle w:val="ListBullet"/>
      </w:pPr>
      <w:r>
        <w:t>方法：依据 DPP4 抑制肽已知结构规律（短肽、N 端疏水、Pro 富集）二次筛选。</w:t>
      </w:r>
    </w:p>
    <w:p>
      <w:pPr>
        <w:pStyle w:val="Heading2"/>
      </w:pPr>
      <w:r>
        <w:t>步骤 6 — 配体 3D 结构制备（PDBQT）</w:t>
      </w:r>
    </w:p>
    <w:p>
      <w:pPr>
        <w:pStyle w:val="ListBullet"/>
      </w:pPr>
      <w:r>
        <w:t>结果：60/60 配体 PDBQT 全部生成成功（3–7 KB/个，零 NaN）。</w:t>
      </w:r>
    </w:p>
    <w:p>
      <w:pPr>
        <w:pStyle w:val="ListBullet"/>
      </w:pPr>
      <w:r>
        <w:t>软件：OpenBabel（pybel / obabel CLI）+ RDKit（补救 8 条含 Arg/His 肽）。</w:t>
      </w:r>
    </w:p>
    <w:p>
      <w:pPr>
        <w:pStyle w:val="ListBullet"/>
      </w:pPr>
      <w:r>
        <w:t>方法：主体 SMILES → make3D → PDBQT；8 条 Arg/His 肽因缺力场数据产生 NaN → 改用 RDKit MolFromSequence + AddHs + ETKDGv3 嵌入 + MMFFOptimizeMolecule 优化 → 转 PDBQT。</w:t>
      </w:r>
    </w:p>
    <w:p>
      <w:pPr>
        <w:pStyle w:val="Heading2"/>
      </w:pPr>
      <w:r>
        <w:t>步骤 7 — 受体与口袋准备</w:t>
      </w:r>
    </w:p>
    <w:p>
      <w:pPr>
        <w:pStyle w:val="ListBullet"/>
      </w:pPr>
      <w:r>
        <w:t>结果：1WCY_receptor.pdbqt（12,248 原子，格式正确）；口袋盒子 moso_box.txt 中心 (62.8, 47.7, 4.8)，size 30³。</w:t>
      </w:r>
    </w:p>
    <w:p>
      <w:pPr>
        <w:pStyle w:val="ListBullet"/>
      </w:pPr>
      <w:r>
        <w:t>软件：RCSB PDB 下载 + OpenBabel（obabel CLI）+ awk 固定列解析。</w:t>
      </w:r>
    </w:p>
    <w:p>
      <w:pPr>
        <w:pStyle w:val="ListBullet"/>
      </w:pPr>
      <w:r>
        <w:t>方法：下载 DPP4 晶体 1WCY（西格列汀 sitagliptin 结合态）→ 转 PDBQT → 仅保留 ATOM/TER/END（剔除 HEADER 等头）→ 实测配体 A1201 坐标定网格中心（模板论文给的 54,62,37 为同口袋近似，以实测为准更稳）。</w:t>
      </w:r>
    </w:p>
    <w:p>
      <w:pPr>
        <w:pStyle w:val="Heading2"/>
      </w:pPr>
      <w:r>
        <w:t>步骤 8 — 分子对接（AutoDock Vina）</w:t>
      </w:r>
    </w:p>
    <w:p>
      <w:r>
        <w:rPr>
          <w:b/>
        </w:rPr>
        <w:t>结果：60/60 完成。Top 10（结合自由能 dG, kcal/mol）：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肽序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dG (kcal/mol)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LPPQ (Leu-Pro-Pro-Gln)</w:t>
            </w:r>
          </w:p>
        </w:tc>
        <w:tc>
          <w:tcPr>
            <w:tcW w:type="dxa" w:w="2160"/>
          </w:tcPr>
          <w:p>
            <w:r>
              <w:t>-7.472</w:t>
            </w:r>
          </w:p>
        </w:tc>
        <w:tc>
          <w:tcPr>
            <w:tcW w:type="dxa" w:w="2160"/>
          </w:tcPr>
          <w:p>
            <w:r>
              <w:t>中-强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APSPE (Ala-Pro-Ser-Pro-Glu)</w:t>
            </w:r>
          </w:p>
        </w:tc>
        <w:tc>
          <w:tcPr>
            <w:tcW w:type="dxa" w:w="2160"/>
          </w:tcPr>
          <w:p>
            <w:r>
              <w:t>-7.150</w:t>
            </w:r>
          </w:p>
        </w:tc>
        <w:tc>
          <w:tcPr>
            <w:tcW w:type="dxa" w:w="2160"/>
          </w:tcPr>
          <w:p>
            <w:r>
              <w:t>中-强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LAPSP (Leu-Ala-Pro-Ser-Pro)</w:t>
            </w:r>
          </w:p>
        </w:tc>
        <w:tc>
          <w:tcPr>
            <w:tcW w:type="dxa" w:w="2160"/>
          </w:tcPr>
          <w:p>
            <w:r>
              <w:t>-7.087</w:t>
            </w:r>
          </w:p>
        </w:tc>
        <w:tc>
          <w:tcPr>
            <w:tcW w:type="dxa" w:w="2160"/>
          </w:tcPr>
          <w:p>
            <w:r>
              <w:t>中-强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LPGP (Leu-Pro-Gly-Pro)</w:t>
            </w:r>
          </w:p>
        </w:tc>
        <w:tc>
          <w:tcPr>
            <w:tcW w:type="dxa" w:w="2160"/>
          </w:tcPr>
          <w:p>
            <w:r>
              <w:t>-7.075</w:t>
            </w:r>
          </w:p>
        </w:tc>
        <w:tc>
          <w:tcPr>
            <w:tcW w:type="dxa" w:w="2160"/>
          </w:tcPr>
          <w:p>
            <w:r>
              <w:t>中-强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LPINP (Leu-Pro-Ile-Asn-Pro)</w:t>
            </w:r>
          </w:p>
        </w:tc>
        <w:tc>
          <w:tcPr>
            <w:tcW w:type="dxa" w:w="2160"/>
          </w:tcPr>
          <w:p>
            <w:r>
              <w:t>-6.988</w:t>
            </w:r>
          </w:p>
        </w:tc>
        <w:tc>
          <w:tcPr>
            <w:tcW w:type="dxa" w:w="2160"/>
          </w:tcPr>
          <w:p>
            <w:r>
              <w:t>中-强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LPSP (Leu-Pro-Ser-Pro)</w:t>
            </w:r>
          </w:p>
        </w:tc>
        <w:tc>
          <w:tcPr>
            <w:tcW w:type="dxa" w:w="2160"/>
          </w:tcPr>
          <w:p>
            <w:r>
              <w:t>-6.867</w:t>
            </w:r>
          </w:p>
        </w:tc>
        <w:tc>
          <w:tcPr>
            <w:tcW w:type="dxa" w:w="2160"/>
          </w:tcPr>
          <w:p>
            <w:r>
              <w:t>中-强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LPCPR (Leu-Pro-Cys-Pro-Arg)</w:t>
            </w:r>
          </w:p>
        </w:tc>
        <w:tc>
          <w:tcPr>
            <w:tcW w:type="dxa" w:w="2160"/>
          </w:tcPr>
          <w:p>
            <w:r>
              <w:t>-6.835</w:t>
            </w:r>
          </w:p>
        </w:tc>
        <w:tc>
          <w:tcPr>
            <w:tcW w:type="dxa" w:w="2160"/>
          </w:tcPr>
          <w:p>
            <w:r>
              <w:t>中-强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LPGDP (Leu-Pro-Gly-Asp-Pro)</w:t>
            </w:r>
          </w:p>
        </w:tc>
        <w:tc>
          <w:tcPr>
            <w:tcW w:type="dxa" w:w="2160"/>
          </w:tcPr>
          <w:p>
            <w:r>
              <w:t>-6.793</w:t>
            </w:r>
          </w:p>
        </w:tc>
        <w:tc>
          <w:tcPr>
            <w:tcW w:type="dxa" w:w="2160"/>
          </w:tcPr>
          <w:p>
            <w:r>
              <w:t>中-强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LPDDP (Leu-Pro-Asp-Asp-Pro)</w:t>
            </w:r>
          </w:p>
        </w:tc>
        <w:tc>
          <w:tcPr>
            <w:tcW w:type="dxa" w:w="2160"/>
          </w:tcPr>
          <w:p>
            <w:r>
              <w:t>-6.693</w:t>
            </w:r>
          </w:p>
        </w:tc>
        <w:tc>
          <w:tcPr>
            <w:tcW w:type="dxa" w:w="2160"/>
          </w:tcPr>
          <w:p>
            <w:r>
              <w:t>中-强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APSQP (Ala-Pro-Ser-Gln-Pro)</w:t>
            </w:r>
          </w:p>
        </w:tc>
        <w:tc>
          <w:tcPr>
            <w:tcW w:type="dxa" w:w="2160"/>
          </w:tcPr>
          <w:p>
            <w:r>
              <w:t>-6.515</w:t>
            </w:r>
          </w:p>
        </w:tc>
        <w:tc>
          <w:tcPr>
            <w:tcW w:type="dxa" w:w="2160"/>
          </w:tcPr>
          <w:p>
            <w:r>
              <w:t>中-强</w:t>
            </w:r>
          </w:p>
        </w:tc>
      </w:tr>
    </w:tbl>
    <w:p>
      <w:r>
        <w:rPr>
          <w:b w:val="0"/>
        </w:rPr>
      </w:r>
    </w:p>
    <w:p>
      <w:pPr>
        <w:pStyle w:val="ListBullet"/>
      </w:pPr>
      <w:r>
        <w:t>分布：中-强（-6.5 ~ -8）10 条 / 中等（-5 ~ -6.5）49 条 / 弱（&gt;-5）1 条（CPPSK -4.856）；无强结合（&lt;-8）。冠军 LPPQ（Leu-Pro-Pro-Gln，双 Pro）完全符合 DPP4 抑制肽文献特征，dG 量级与模板大蒜肽 WPHY/WPQY 相当。</w:t>
      </w:r>
    </w:p>
    <w:p>
      <w:pPr>
        <w:pStyle w:val="ListBullet"/>
      </w:pPr>
      <w:r>
        <w:t>软件：AutoDock Vina 1.2.5（vina.exe，本机 Windows）。</w:t>
      </w:r>
    </w:p>
    <w:p>
      <w:pPr>
        <w:pStyle w:val="ListBullet"/>
      </w:pPr>
      <w:r>
        <w:t>方法：--exhaustiveness 4 --cpu 2，单对接盒 30³，输出 9 个构象/肽，取最佳 mode 的 dG。</w:t>
      </w:r>
    </w:p>
    <w:p>
      <w:pPr>
        <w:pStyle w:val="Heading1"/>
      </w:pPr>
      <w:r>
        <w:t>三、当前交付物清单（仓库内 data/ 与 docking/）</w:t>
      </w:r>
    </w:p>
    <w:p>
      <w:pPr>
        <w:pStyle w:val="ListBullet"/>
      </w:pPr>
      <w:r>
        <w:t>moso_253.fasta（253 蛋白）</w:t>
      </w:r>
    </w:p>
    <w:p>
      <w:pPr>
        <w:pStyle w:val="ListBullet"/>
      </w:pPr>
      <w:r>
        <w:t>moso_253_peptides_strict.txt / _peptides.txt（唯一肽清单）</w:t>
      </w:r>
    </w:p>
    <w:p>
      <w:pPr>
        <w:pStyle w:val="ListBullet"/>
      </w:pPr>
      <w:r>
        <w:t>moso_candidates_pr_filtered.txt（2,019 候选）</w:t>
      </w:r>
    </w:p>
    <w:p>
      <w:pPr>
        <w:pStyle w:val="ListBullet"/>
      </w:pPr>
      <w:r>
        <w:t>moso_dock_queue.txt（60 对接队列）</w:t>
      </w:r>
    </w:p>
    <w:p>
      <w:pPr>
        <w:pStyle w:val="ListBullet"/>
      </w:pPr>
      <w:r>
        <w:t>1WCY_receptor.pdbqt、moso_box.txt、vina.exe</w:t>
      </w:r>
    </w:p>
    <w:p>
      <w:pPr>
        <w:pStyle w:val="ListBullet"/>
      </w:pPr>
      <w:r>
        <w:t>moso_ligands/（60 配体 PDBQT + 60 对接输出构象）</w:t>
      </w:r>
    </w:p>
    <w:p>
      <w:pPr>
        <w:pStyle w:val="ListBullet"/>
      </w:pPr>
      <w:r>
        <w:t>moso_dock_results.tsv、moso_dock_ranking.txt（完整排名）</w:t>
      </w:r>
    </w:p>
    <w:p>
      <w:pPr>
        <w:pStyle w:val="Heading1"/>
      </w:pPr>
      <w:r>
        <w:t>四、尚待完成的后续步骤（按模板全程）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官方 PeptideRanker/AllerTOP/ToxinPred 验证</w:t>
            </w:r>
          </w:p>
        </w:tc>
        <w:tc>
          <w:tcPr>
            <w:tcW w:type="dxa" w:w="2880"/>
          </w:tcPr>
          <w:p>
            <w:r>
              <w:t>未做</w:t>
            </w:r>
          </w:p>
        </w:tc>
        <w:tc>
          <w:tcPr>
            <w:tcW w:type="dxa" w:w="2880"/>
          </w:tcPr>
          <w:p>
            <w:r>
              <w:t>当前为代理启发式，须替换</w:t>
            </w:r>
          </w:p>
        </w:tc>
      </w:tr>
      <w:tr>
        <w:tc>
          <w:tcPr>
            <w:tcW w:type="dxa" w:w="2880"/>
          </w:tcPr>
          <w:p>
            <w:r>
              <w:t>MD + MM/PBSA（GROMACS）</w:t>
            </w:r>
          </w:p>
        </w:tc>
        <w:tc>
          <w:tcPr>
            <w:tcW w:type="dxa" w:w="2880"/>
          </w:tcPr>
          <w:p>
            <w:r>
              <w:t>未做</w:t>
            </w:r>
          </w:p>
        </w:tc>
        <w:tc>
          <w:tcPr>
            <w:tcW w:type="dxa" w:w="2880"/>
          </w:tcPr>
          <w:p>
            <w:r>
              <w:t>模板用 50→150 ns 验证 Top 肽</w:t>
            </w:r>
          </w:p>
        </w:tc>
      </w:tr>
      <w:tr>
        <w:tc>
          <w:tcPr>
            <w:tcW w:type="dxa" w:w="2880"/>
          </w:tcPr>
          <w:p>
            <w:r>
              <w:t>网络药理学</w:t>
            </w:r>
          </w:p>
        </w:tc>
        <w:tc>
          <w:tcPr>
            <w:tcW w:type="dxa" w:w="2880"/>
          </w:tcPr>
          <w:p>
            <w:r>
              <w:t>未做</w:t>
            </w:r>
          </w:p>
        </w:tc>
        <w:tc>
          <w:tcPr>
            <w:tcW w:type="dxa" w:w="2880"/>
          </w:tcPr>
          <w:p>
            <w:r>
              <w:t>SwissTargetPrediction→STRING→DAVID</w:t>
            </w:r>
          </w:p>
        </w:tc>
      </w:tr>
      <w:tr>
        <w:tc>
          <w:tcPr>
            <w:tcW w:type="dxa" w:w="2880"/>
          </w:tcPr>
          <w:p>
            <w:r>
              <w:t>体外活性（Gly-Pro-pNA + Caco-2）</w:t>
            </w:r>
          </w:p>
        </w:tc>
        <w:tc>
          <w:tcPr>
            <w:tcW w:type="dxa" w:w="2880"/>
          </w:tcPr>
          <w:p>
            <w:r>
              <w:t>未做</w:t>
            </w:r>
          </w:p>
        </w:tc>
        <w:tc>
          <w:tcPr>
            <w:tcW w:type="dxa" w:w="2880"/>
          </w:tcPr>
          <w:p>
            <w:r>
              <w:t>真实活性终点，须实验</w:t>
            </w:r>
          </w:p>
        </w:tc>
      </w:tr>
    </w:tbl>
    <w:p>
      <w:pPr>
        <w:pStyle w:val="Heading1"/>
      </w:pPr>
      <w:r>
        <w:t>五、必须如实披露的局限</w:t>
      </w:r>
    </w:p>
    <w:p>
      <w:pPr>
        <w:pStyle w:val="ListBullet"/>
      </w:pPr>
      <w:r>
        <w:t>活性预筛打分已由 iDPPIV-SCM 本地离线复现替代原代理启发式（文献验证、可离线复现、可解释）；过敏/毒性层用 ToxinPred 3.0 + AlgPred 2.0 官方输出。iDPPIV-SCM 训练基准集存在长度混杂（负样本多为长肽/蛋白），故仅用作候选排序/软过滤，不作确定性活性判定。</w:t>
      </w:r>
    </w:p>
    <w:p>
      <w:pPr>
        <w:pStyle w:val="ListBullet"/>
      </w:pPr>
      <w:r>
        <w:t>对接为静态 dG 估计，需 MD/MM-PBSA + 体外实验确认，不能直接当活性结论。</w:t>
      </w:r>
    </w:p>
    <w:p>
      <w:pPr>
        <w:pStyle w:val="ListBullet"/>
      </w:pPr>
      <w:r>
        <w:t>毛竹 0 条人工审阅条目（全 TrEMBL 预测），Methods 须如实披露来源与预测性质（大蒜模板同样 ~95% 为 TrEMBL，可接受）。</w:t>
      </w:r>
    </w:p>
    <w:p>
      <w:pPr>
        <w:pStyle w:val="ListBullet"/>
      </w:pPr>
      <w:r>
        <w:t>WPHY/WPQY/VAPGW 是大蒜肽，不应用于毛竹真值校验。</w:t>
      </w:r>
    </w:p>
    <w:p>
      <w:pPr>
        <w:pStyle w:val="Heading1"/>
      </w:pPr>
      <w:r>
        <w:t>六、本项目软件栈汇总</w:t>
      </w:r>
    </w:p>
    <w:p>
      <w:pPr>
        <w:pStyle w:val="ListBullet"/>
      </w:pPr>
      <w:r>
        <w:t>UniProt REST API（curl）：taxonomy/search、uniprotkb/search、proteomes/search、uniprotkb/stream</w:t>
      </w:r>
    </w:p>
    <w:p>
      <w:pPr>
        <w:pStyle w:val="ListBullet"/>
      </w:pPr>
      <w:r>
        <w:t>pdftotext（poppler）：抽取参考模板论文文本</w:t>
      </w:r>
    </w:p>
    <w:p>
      <w:pPr>
        <w:pStyle w:val="ListBullet"/>
      </w:pPr>
      <w:r>
        <w:t>Python venv（numpy、scipy、biopython、openbabel、rdkit、pandas）</w:t>
      </w:r>
    </w:p>
    <w:p>
      <w:pPr>
        <w:pStyle w:val="ListBullet"/>
      </w:pPr>
      <w:r>
        <w:t>OpenBabel（pybel / obabel CLI）：3D 肽构象生成、PDB→PDBQT 转换</w:t>
      </w:r>
    </w:p>
    <w:p>
      <w:pPr>
        <w:pStyle w:val="ListBullet"/>
      </w:pPr>
      <w:r>
        <w:t>RDKit：MolFromSequence 补救 Arg/His 肽 NaN、MMFF 优化</w:t>
      </w:r>
    </w:p>
    <w:p>
      <w:pPr>
        <w:pStyle w:val="ListBullet"/>
      </w:pPr>
      <w:r>
        <w:t>AutoDock Vina 1.2.5（vina.exe）：分子对接</w:t>
      </w:r>
    </w:p>
    <w:p>
      <w:pPr>
        <w:pStyle w:val="ListBullet"/>
      </w:pPr>
      <w:r>
        <w:t>awk / Python：PDB 坐标解析、口袋中心提取、受体 PDBQT 头文件清理</w:t>
      </w:r>
    </w:p>
    <w:p>
      <w:pPr>
        <w:pStyle w:val="Heading1"/>
      </w:pPr>
      <w:r>
        <w:t>七、iDPPIV-SCM 模块 — 离线活性预筛（替代 PeptideRanker 代理打分）</w:t>
      </w:r>
    </w:p>
    <w:p>
      <w:r>
        <w:rPr>
          <w:b/>
        </w:rPr>
        <w:t>背景与动机</w:t>
      </w:r>
    </w:p>
    <w:p>
      <w:pPr>
        <w:pStyle w:val="ListBullet"/>
      </w:pPr>
      <w:r>
        <w:t>PeptideRanker 官方服务器长期不可用；且其为「通用生物活性」打分器，对 DPP-4 专项并非最优。原代理启发式分对富 Pro 短肽恒为 1.000、零区分力。故改用 DPP-IV 专用、可完全离线复现的 iDPPIV-SCM（Scoring Card Method）。</w:t>
      </w:r>
    </w:p>
    <w:p>
      <w:r>
        <w:rPr>
          <w:b/>
        </w:rPr>
        <w:t>离线复现方法</w:t>
      </w:r>
    </w:p>
    <w:p>
      <w:pPr>
        <w:pStyle w:val="ListBullet"/>
      </w:pPr>
      <w:r>
        <w:t>数据集：从公开同源仓库（WeiLab-BioChem/Structural-DPP-IV）下载 iDPPIV 同源基准集——train 532+532、独立测试 133+133，均为标准 20 种氨基酸。</w:t>
      </w:r>
    </w:p>
    <w:p>
      <w:pPr>
        <w:pStyle w:val="ListBullet"/>
      </w:pPr>
      <w:r>
        <w:t>评分卡：本地重算全局氨基酸组成型倾向性得分 P(a)=log2(正样本频率/负样本频率)，对一条肽求 Σ 残基倾向性得到连续分（与论文摘要「propensity scores of amino acids」一致）。零联网、零外部依赖、完全可复现。</w:t>
      </w:r>
    </w:p>
    <w:p>
      <w:pPr>
        <w:pStyle w:val="ListBullet"/>
      </w:pPr>
      <w:r>
        <w:t>可解释性：学到的倾向性生物学自洽——Pro 得分 +0.875 居首（DPP-4 的 S1 口袋对 Pro 特异，食源 DPP-4 抑制肽普遍富 Pro）；Cys −2.482 强烈负向。</w:t>
      </w:r>
    </w:p>
    <w:p>
      <w:r>
        <w:rPr>
          <w:b/>
        </w:rPr>
        <w:t>复现精度与关键发现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独立测试 ACC</w:t>
            </w:r>
          </w:p>
        </w:tc>
        <w:tc>
          <w:tcPr>
            <w:tcW w:type="dxa" w:w="4320"/>
          </w:tcPr>
          <w:p>
            <w:r>
              <w:t>≈0.771（文献报告 ≈0.797）</w:t>
            </w:r>
          </w:p>
        </w:tc>
      </w:tr>
      <w:tr>
        <w:tc>
          <w:tcPr>
            <w:tcW w:type="dxa" w:w="4320"/>
          </w:tcPr>
          <w:p>
            <w:r>
              <w:t>训练基准集长度混杂</w:t>
            </w:r>
          </w:p>
        </w:tc>
        <w:tc>
          <w:tcPr>
            <w:tcW w:type="dxa" w:w="4320"/>
          </w:tcPr>
          <w:p>
            <w:r>
              <w:t>正样本多为短肽、负样本多为长肽/蛋白；纯「短=阳性」基线即达 0.820</w:t>
            </w:r>
          </w:p>
        </w:tc>
      </w:tr>
      <w:tr>
        <w:tc>
          <w:tcPr>
            <w:tcW w:type="dxa" w:w="4320"/>
          </w:tcPr>
          <w:p>
            <w:r>
              <w:t>对毛竹项目的意义</w:t>
            </w:r>
          </w:p>
        </w:tc>
        <w:tc>
          <w:tcPr>
            <w:tcW w:type="dxa" w:w="4320"/>
          </w:tcPr>
          <w:p>
            <w:r>
              <w:t>所有候选均为 2–6 aa 短肽，长度信号一致失效 → SCM 分反映真实残基组成信号</w:t>
            </w:r>
          </w:p>
        </w:tc>
      </w:tr>
      <w:tr>
        <w:tc>
          <w:tcPr>
            <w:tcW w:type="dxa" w:w="4320"/>
          </w:tcPr>
          <w:p>
            <w:r>
              <w:t>iDPPIV 分 vs Vina dG 相关性</w:t>
            </w:r>
          </w:p>
        </w:tc>
        <w:tc>
          <w:tcPr>
            <w:tcW w:type="dxa" w:w="4320"/>
          </w:tcPr>
          <w:p>
            <w:r>
              <w:t>Spearman ρ = 0.067（≈0）：活性倾向与结合自由能是正交维度</w:t>
            </w:r>
          </w:p>
        </w:tc>
      </w:tr>
    </w:tbl>
    <w:p>
      <w:r>
        <w:rPr>
          <w:b w:val="0"/>
        </w:rPr>
      </w:r>
    </w:p>
    <w:p>
      <w:r>
        <w:rPr>
          <w:b/>
        </w:rPr>
        <w:t>筛选漏斗与对接对比</w:t>
      </w:r>
    </w:p>
    <w:p>
      <w:pPr>
        <w:pStyle w:val="ListBullet"/>
      </w:pPr>
      <w:r>
        <w:t>对全部 4,950 条 2–6 aa 短肽重新打分（取值域 [−7.243, 4.431]，均值 −0.704、标准差 1.246，68.7% 预测为 DPP-IV 抑制肽），彻底替换恒为 1.000 的代理分。</w:t>
      </w:r>
    </w:p>
    <w:p>
      <w:pPr>
        <w:pStyle w:val="ListBullet"/>
      </w:pPr>
      <w:r>
        <w:t>接入两级流程：4,950 短肽 → iDPPIV 优先化候选 → DPP4 结构偏好收窄 565 → Top-60 对接队列（与旧代理队列重叠 32、新增 28）。</w:t>
      </w:r>
    </w:p>
    <w:p>
      <w:pPr>
        <w:pStyle w:val="ListBullet"/>
      </w:pPr>
      <w:r>
        <w:t>公平重对接（新旧队列均用同一 RDKit MMFF94 管线，消除制备混杂）：集合层面 iDPPIV 队列富集更强结合肽——dG≤−6.0 占比 33.3% vs 旧 20.0%，重叠 32 肽中新队列 21 个更优；但 Δ=−0.35 kcal/mol 落在 Vina ±0.5~1.0 噪声带内，不夸大为「结合显著更优」。</w:t>
      </w:r>
    </w:p>
    <w:p>
      <w:pPr>
        <w:pStyle w:val="ListBullet"/>
      </w:pPr>
      <w:r>
        <w:t>核心结论：iDPPIV-SCM 是活性预筛器（分类），非结合亲和力预测器；与 Vina 对接构成两级正交过滤。其真正价值是把「宕机依赖 + 零区分力代理」升级为「文献验证、可离线复现、可解释」的活性评分——方法学硬升级。</w:t>
      </w:r>
    </w:p>
    <w:p>
      <w:r>
        <w:rPr>
          <w:b/>
        </w:rPr>
        <w:t>相关产物</w:t>
      </w:r>
    </w:p>
    <w:p>
      <w:pPr>
        <w:pStyle w:val="ListBullet"/>
      </w:pPr>
      <w:r>
        <w:t>scripts/idppiv_scm/（评分卡模型 model.py + 公开数据集 + 验证/打分脚本）；data/moso_candidates_idppiv_short.tsv（4,950 短肽评分）；docking/moso_dock_results_idppiv_clean.tsv、moso_dock_results_old_rdkit.tsv、moso_dock_compare.tsv；docs/方法学替换报告.md。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