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ind w:firstLine="0"/>
        <w:jc w:val="center"/>
      </w:pPr>
      <w:r>
        <w:t>МИНИСТЕРСТВО НАУКИ И ВЫСШЕГО ОБРАЗОВАНИЯ РОССИЙСКОЙ</w:t>
      </w:r>
    </w:p>
    <w:p>
      <w:pPr>
        <w:keepNext w:val="0"/>
        <w:ind w:firstLine="0"/>
        <w:jc w:val="center"/>
      </w:pPr>
      <w:r>
        <w:t>ФЕДЕРАЦИИ</w:t>
      </w:r>
    </w:p>
    <w:p>
      <w:pPr>
        <w:keepNext w:val="0"/>
        <w:ind w:firstLine="0"/>
        <w:jc w:val="center"/>
      </w:pPr>
      <w:r>
        <w:t>Федеральное государственное бюджетное образовательное учреждение</w:t>
      </w:r>
    </w:p>
    <w:p>
      <w:pPr>
        <w:keepNext w:val="0"/>
        <w:ind w:firstLine="0"/>
        <w:jc w:val="center"/>
      </w:pPr>
      <w:r>
        <w:t>высшего образования</w:t>
      </w:r>
    </w:p>
    <w:p>
      <w:pPr>
        <w:keepNext w:val="0"/>
        <w:ind w:firstLine="0"/>
        <w:jc w:val="center"/>
      </w:pPr>
      <w:r>
        <w:t>«Казанский национальный исследовательский технический университет</w:t>
      </w:r>
    </w:p>
    <w:p>
      <w:pPr>
        <w:keepNext w:val="0"/>
        <w:ind w:firstLine="0"/>
        <w:jc w:val="center"/>
      </w:pPr>
      <w:r>
        <w:t>им. А.Н. Туполева – КАИ»</w:t>
      </w:r>
    </w:p>
    <w:p>
      <w:pPr>
        <w:keepNext w:val="0"/>
        <w:ind w:firstLine="0"/>
        <w:jc w:val="center"/>
      </w:pPr>
      <w:r>
        <w:t>Институт компьютерных технологий и защиты информации</w:t>
      </w:r>
    </w:p>
    <w:p>
      <w:pPr>
        <w:keepNext w:val="0"/>
        <w:ind w:firstLine="0"/>
        <w:jc w:val="center"/>
      </w:pPr>
      <w:r>
        <w:t>Отделение СПО ИКТЗИ (Колледж информационных технологий)</w:t>
      </w: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  <w:r>
        <w:t>ЛАБОРАТОРНАЯ РАБОТА №6</w:t>
      </w:r>
    </w:p>
    <w:p>
      <w:pPr>
        <w:keepNext w:val="0"/>
        <w:ind w:firstLine="0"/>
        <w:jc w:val="center"/>
      </w:pPr>
      <w:r>
        <w:t>по дисциплине</w:t>
      </w: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  <w:r>
        <w:t>Проектирование и разработка интерфейсов пользователя</w:t>
      </w: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  <w:r>
        <w:t>Тема: «Тёмная и светлая темы»</w:t>
      </w: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</w:p>
    <w:p>
      <w:pPr>
        <w:keepNext w:val="0"/>
        <w:ind w:firstLine="0"/>
        <w:jc w:val="right"/>
      </w:pPr>
      <w:r>
        <w:t>Работу выполнил</w:t>
      </w:r>
    </w:p>
    <w:p>
      <w:pPr>
        <w:keepNext w:val="0"/>
        <w:ind w:firstLine="0"/>
        <w:jc w:val="right"/>
      </w:pPr>
      <w:r>
        <w:t>Студент гр. [номер группы]</w:t>
      </w:r>
    </w:p>
    <w:p>
      <w:pPr>
        <w:keepNext w:val="0"/>
        <w:ind w:firstLine="0"/>
        <w:jc w:val="right"/>
      </w:pPr>
      <w:r>
        <w:t>[ФИО студента]</w:t>
      </w:r>
    </w:p>
    <w:p>
      <w:pPr>
        <w:keepNext w:val="0"/>
        <w:ind w:firstLine="0"/>
        <w:jc w:val="right"/>
      </w:pPr>
    </w:p>
    <w:p>
      <w:pPr>
        <w:keepNext w:val="0"/>
        <w:ind w:firstLine="0"/>
        <w:jc w:val="right"/>
      </w:pPr>
      <w:r>
        <w:t>Принял</w:t>
      </w:r>
    </w:p>
    <w:p>
      <w:pPr>
        <w:keepNext w:val="0"/>
        <w:ind w:firstLine="0"/>
        <w:jc w:val="right"/>
      </w:pPr>
      <w:r>
        <w:t>Преподаватель Максимов Р.С.</w:t>
      </w: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</w:p>
    <w:p>
      <w:pPr>
        <w:keepNext w:val="0"/>
        <w:ind w:firstLine="0"/>
        <w:jc w:val="center"/>
      </w:pPr>
      <w:r>
        <w:t>Казань 2026</w:t>
      </w:r>
    </w:p>
    <w:p>
      <w:pPr>
        <w:spacing w:line="2" w:lineRule="exact" w:after="0"/>
        <w:ind w:firstLine="0"/>
      </w:pPr>
      <w:r>
        <w:br w:type="page"/>
      </w:r>
    </w:p>
    <w:p>
      <w:pPr>
        <w:keepNext w:val="0"/>
        <w:ind w:firstLine="709"/>
        <w:jc w:val="both"/>
      </w:pPr>
      <w:r>
        <w:t>Цель работы: Расширить интерфейс проекта Ozon Tracker поддержкой светлой и тёмной тем с использованием семантических цветовых токенов.</w:t>
      </w:r>
    </w:p>
    <w:p>
      <w:pPr>
        <w:keepNext w:val="0"/>
        <w:ind w:firstLine="709"/>
        <w:jc w:val="both"/>
      </w:pPr>
      <w:r>
        <w:t>1. Семантические токены</w:t>
      </w:r>
    </w:p>
    <w:p>
      <w:pPr>
        <w:keepNext w:val="0"/>
        <w:ind w:firstLine="709"/>
        <w:jc w:val="both"/>
      </w:pPr>
      <w:r>
        <w:t>Примитивные токены задают исходные значения цветов. В проекте палитра представлена HEX-значениями, например #2389FF и #020912.</w:t>
      </w:r>
    </w:p>
    <w:p>
      <w:pPr>
        <w:keepNext w:val="0"/>
        <w:ind w:firstLine="709"/>
        <w:jc w:val="both"/>
      </w:pPr>
      <w:r>
        <w:t>Семантические токены задают роль цвета: --bg — фон, --text — основной текст, --panel-solid — поверхность карточек, --border — границы.</w:t>
      </w:r>
    </w:p>
    <w:p>
      <w:pPr>
        <w:keepNext w:val="0"/>
        <w:ind w:firstLine="709"/>
        <w:jc w:val="both"/>
      </w:pPr>
      <w:r>
        <w:t>Компоненты используют CSS-переменные через var(). При смене темы меняются значения ролей, и интерфейс обновляется автоматически.</w:t>
      </w:r>
    </w:p>
    <w:p>
      <w:pPr>
        <w:keepNext w:val="0"/>
        <w:ind w:firstLine="709"/>
        <w:jc w:val="both"/>
      </w:pPr>
      <w:r>
        <w:t>2. Значения токенов для тёмной темы</w:t>
      </w:r>
    </w:p>
    <w:p>
      <w:pPr>
        <w:keepNext w:val="0"/>
        <w:ind w:firstLine="709"/>
        <w:jc w:val="both"/>
      </w:pPr>
      <w:r>
        <w:t>— Фон: --bg = #020912; поверхность карточек: #0A1725.</w:t>
      </w:r>
    </w:p>
    <w:p>
      <w:pPr>
        <w:keepNext w:val="0"/>
        <w:ind w:firstLine="709"/>
        <w:jc w:val="both"/>
      </w:pPr>
      <w:r>
        <w:t>— Основной текст: #EEF4FB; вторичный текст: #A3AFBD.</w:t>
      </w:r>
    </w:p>
    <w:p>
      <w:pPr>
        <w:keepNext w:val="0"/>
        <w:ind w:firstLine="709"/>
        <w:jc w:val="both"/>
      </w:pPr>
      <w:r>
        <w:t>— Акцент: #2389FF; успех: #18D391; ошибка: #FF5C6C.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706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1</w:t>
              <w:br/>
              <w:t>Открыть карточку товара в светлой теме.</w:t>
            </w:r>
          </w:p>
        </w:tc>
      </w:tr>
    </w:tbl>
    <w:p>
      <w:pPr>
        <w:keepNext w:val="0"/>
        <w:ind w:firstLine="0"/>
        <w:jc w:val="center"/>
      </w:pPr>
      <w:r>
        <w:t>Рисунок 1 – Светлая тема, карточка товара</w:t>
      </w:r>
    </w:p>
    <w:p>
      <w:pPr>
        <w:spacing w:line="2" w:lineRule="exact" w:after="0"/>
        <w:ind w:firstLine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580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2</w:t>
              <w:br/>
              <w:t>Та же карточка товара, тот же размер окна; тёмная тема.</w:t>
            </w:r>
          </w:p>
        </w:tc>
      </w:tr>
    </w:tbl>
    <w:p>
      <w:pPr>
        <w:keepNext w:val="0"/>
        <w:ind w:firstLine="0"/>
        <w:jc w:val="center"/>
      </w:pPr>
      <w:r>
        <w:t>Рисунок 2 – Тёмная тема, карточка товара</w:t>
      </w:r>
    </w:p>
    <w:p>
      <w:pPr>
        <w:keepNext w:val="0"/>
        <w:spacing w:line="483" w:lineRule="exact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580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3</w:t>
              <w:br/>
              <w:t>Раздел «Главная»: список товаров и верхняя панель; светлая тема.</w:t>
            </w:r>
          </w:p>
        </w:tc>
      </w:tr>
    </w:tbl>
    <w:p>
      <w:pPr>
        <w:keepNext w:val="0"/>
        <w:ind w:firstLine="0"/>
        <w:jc w:val="center"/>
      </w:pPr>
      <w:r>
        <w:t>Рисунок 3 – Светлая тема, главная страница</w:t>
      </w:r>
    </w:p>
    <w:p>
      <w:pPr>
        <w:spacing w:line="2" w:lineRule="exact" w:after="0"/>
        <w:ind w:firstLine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580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4</w:t>
              <w:br/>
              <w:t>Тот же список товаров при том же размере окна; тёмная тема.</w:t>
            </w:r>
          </w:p>
        </w:tc>
      </w:tr>
    </w:tbl>
    <w:p>
      <w:pPr>
        <w:keepNext w:val="0"/>
        <w:ind w:firstLine="0"/>
        <w:jc w:val="center"/>
      </w:pPr>
      <w:r>
        <w:t>Рисунок 4 – Тёмная тема, главная страница</w:t>
      </w:r>
    </w:p>
    <w:p>
      <w:pPr>
        <w:keepNext w:val="0"/>
        <w:spacing w:line="483" w:lineRule="exact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580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5</w:t>
              <w:br/>
              <w:t>Раздел «Статистика»: график цены с подсказкой над точкой; светлая тема.</w:t>
            </w:r>
          </w:p>
        </w:tc>
      </w:tr>
    </w:tbl>
    <w:p>
      <w:pPr>
        <w:keepNext w:val="0"/>
        <w:ind w:firstLine="0"/>
        <w:jc w:val="center"/>
      </w:pPr>
      <w:r>
        <w:t>Рисунок 5 – Светлая тема, график изменения цены</w:t>
      </w:r>
    </w:p>
    <w:p>
      <w:pPr>
        <w:spacing w:line="2" w:lineRule="exact" w:after="0"/>
        <w:ind w:firstLine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470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6</w:t>
              <w:br/>
              <w:t>Тот же товар, период и показатель; подсказка над точкой; тёмная тема.</w:t>
            </w:r>
          </w:p>
        </w:tc>
      </w:tr>
    </w:tbl>
    <w:p>
      <w:pPr>
        <w:keepNext w:val="0"/>
        <w:ind w:firstLine="0"/>
        <w:jc w:val="center"/>
      </w:pPr>
      <w:r>
        <w:t>Рисунок 6 – Тёмная тема, график изменения цены</w:t>
      </w:r>
    </w:p>
    <w:p>
      <w:pPr>
        <w:keepNext w:val="0"/>
        <w:ind w:firstLine="709"/>
        <w:jc w:val="both"/>
      </w:pPr>
      <w:r>
        <w:t>В основе оформления Ozon Tracker лежит разделение значений палитры и семантических ролей цветов.</w:t>
      </w:r>
    </w:p>
    <w:p>
      <w:pPr>
        <w:keepNext w:val="0"/>
        <w:ind w:firstLine="709"/>
        <w:jc w:val="both"/>
      </w:pPr>
      <w:r>
        <w:t>Примитивные значения — конкретные цвета, например #EDF3F9 для светлого фона и #020912 для тёмного.</w:t>
      </w:r>
    </w:p>
    <w:p>
      <w:pPr>
        <w:keepNext w:val="0"/>
        <w:ind w:firstLine="709"/>
        <w:jc w:val="both"/>
      </w:pPr>
      <w:r>
        <w:t>Семантические роли — CSS-переменные --bg, --text, --text-soft, --panel-solid и --border. Они используются в таблицах, карточках, навигации и графиках.</w:t>
      </w:r>
    </w:p>
    <w:p>
      <w:pPr>
        <w:keepNext w:val="0"/>
        <w:ind w:firstLine="709"/>
        <w:jc w:val="both"/>
      </w:pPr>
      <w:r>
        <w:t>Вместо modes в Figma Variables в работающем приложении используется атрибут data-theme="light" на корневом элементе. Значения светлой темы переопределяются в App.css.</w:t>
      </w:r>
    </w:p>
    <w:p>
      <w:pPr>
        <w:keepNext w:val="0"/>
        <w:ind w:firstLine="709"/>
        <w:jc w:val="both"/>
      </w:pPr>
      <w:r>
        <w:t>Кнопка в верхней панели переключает тему. Выбор сохраняется в localStorage отдельно для каждого аккаунта и восстанавливается после перезагрузки.</w:t>
      </w:r>
    </w:p>
    <w:p>
      <w:pPr>
        <w:keepNext w:val="0"/>
        <w:ind w:firstLine="709"/>
        <w:jc w:val="both"/>
      </w:pPr>
      <w:r>
        <w:t>Тёмная тема не является механической инверсией светлой: фон, текст, поверхности и границы получают отдельные значения; акцентный синий сохраняется.</w:t>
      </w:r>
    </w:p>
    <w:p>
      <w:pPr>
        <w:spacing w:line="2" w:lineRule="exact" w:after="0"/>
        <w:ind w:firstLine="0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470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7</w:t>
              <w:br/>
              <w:t>WebAIM: текст #102033, фон #FFFFFF; показать коэффициент и WCAG AA.</w:t>
            </w:r>
          </w:p>
        </w:tc>
      </w:tr>
    </w:tbl>
    <w:p>
      <w:pPr>
        <w:keepNext w:val="0"/>
        <w:ind w:firstLine="0"/>
        <w:jc w:val="center"/>
      </w:pPr>
      <w:r>
        <w:t>Рисунок 7 – Проверка контраста светлой темы</w:t>
      </w:r>
    </w:p>
    <w:p>
      <w:pPr>
        <w:keepNext w:val="0"/>
        <w:spacing w:line="483" w:lineRule="exact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4700" w:hRule="exact"/>
          <w:cantSplit/>
        </w:trPr>
        <w:tc>
          <w:tcPr>
            <w:tcW w:type="dxa" w:w="9355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line="320" w:lineRule="exact"/>
              <w:ind w:firstLine="0"/>
              <w:jc w:val="center"/>
            </w:pPr>
            <w:r>
              <w:rPr>
                <w:sz w:val="24"/>
              </w:rPr>
              <w:t>МЕСТО ДЛЯ РИСУНКА 8</w:t>
              <w:br/>
              <w:t>WebAIM: текст #EEF4FB, фон #0A1725; показать коэффициент и WCAG AA.</w:t>
            </w:r>
          </w:p>
        </w:tc>
      </w:tr>
    </w:tbl>
    <w:p>
      <w:pPr>
        <w:keepNext w:val="0"/>
        <w:ind w:firstLine="0"/>
        <w:jc w:val="center"/>
      </w:pPr>
      <w:r>
        <w:t>Рисунок 8 – Проверка контраста тёмной темы</w:t>
      </w:r>
    </w:p>
    <w:p>
      <w:pPr>
        <w:keepNext w:val="0"/>
        <w:ind w:firstLine="709"/>
        <w:jc w:val="both"/>
      </w:pPr>
      <w:r>
        <w:t>Контрастность пар «текст + фон» рассчитана по формуле относительной яркости WCAG. На рисунках 7 и 8 предусмотрены места для проверки в WebAIM Contrast Checker.</w:t>
      </w:r>
    </w:p>
    <w:p>
      <w:pPr>
        <w:keepNext w:val="0"/>
        <w:ind w:firstLine="709"/>
        <w:jc w:val="both"/>
      </w:pPr>
      <w:r>
        <w:t>Требования WCAG AA: обычный текст — не менее 4,5:1; крупный текст и значимые нетекстовые элементы — не менее 3:1.</w:t>
      </w:r>
    </w:p>
    <w:p>
      <w:pPr>
        <w:spacing w:line="2" w:lineRule="exact" w:after="0"/>
        <w:ind w:firstLine="0"/>
      </w:pPr>
      <w:r>
        <w:br w:type="page"/>
      </w:r>
    </w:p>
    <w:p>
      <w:pPr>
        <w:keepNext w:val="0"/>
        <w:ind w:firstLine="709"/>
        <w:jc w:val="both"/>
      </w:pPr>
      <w:r>
        <w:t>Результат расчёта для непрозрачных поверхностей карточек:</w:t>
      </w:r>
    </w:p>
    <w:p>
      <w:pPr>
        <w:keepNext w:val="0"/>
        <w:ind w:firstLine="709"/>
        <w:jc w:val="both"/>
      </w:pPr>
      <w:r>
        <w:t>— Светлая тема: основной текст #102033 на #FFFFFF — 16,45:1; вторичный текст #536275 на #FFFFFF — 6,23:1.</w:t>
      </w:r>
    </w:p>
    <w:p>
      <w:pPr>
        <w:keepNext w:val="0"/>
        <w:ind w:firstLine="709"/>
        <w:jc w:val="both"/>
      </w:pPr>
      <w:r>
        <w:t>— Тёмная тема: основной текст #EEF4FB на #0A1725 — 16,32:1; вторичный текст #A3AFBD на #0A1725 — 8,11:1.</w:t>
      </w:r>
    </w:p>
    <w:p>
      <w:pPr>
        <w:keepNext w:val="0"/>
        <w:ind w:firstLine="709"/>
        <w:jc w:val="both"/>
      </w:pPr>
      <w:r>
        <w:t>Основной и вторичный текст на указанных поверхностях соответствуют требованиям WCAG AA для обычного текста.</w:t>
      </w:r>
    </w:p>
    <w:p>
      <w:pPr>
        <w:keepNext w:val="0"/>
        <w:ind w:firstLine="709"/>
        <w:jc w:val="both"/>
      </w:pPr>
      <w:r>
        <w:t>При этом приглушённый текст #7F8C9D на белом фоне имеет контраст 3,42:1, что ниже порога 4,5:1 для обычного текста. Для таких подписей в светлой теме требуется более тёмный оттенок.</w:t>
      </w:r>
    </w:p>
    <w:p>
      <w:pPr>
        <w:keepNext w:val="0"/>
        <w:ind w:firstLine="709"/>
        <w:jc w:val="both"/>
      </w:pPr>
      <w:r>
        <w:t>Контраст белого текста на сплошном акцентном фоне #2389FF составляет 3,45:1. Такая пара подходит для крупного текста, но для обычного текста цвет фона следует затемнить.</w:t>
      </w:r>
    </w:p>
    <w:p>
      <w:pPr>
        <w:keepNext w:val="0"/>
        <w:ind w:firstLine="709"/>
        <w:jc w:val="both"/>
      </w:pPr>
      <w:r>
        <w:t>Полученные значения относятся к перечисленным однотонным парам. Полупрозрачные панели, градиенты и состояния элементов требуют отдельной проверки с учётом фактического фона.</w:t>
      </w:r>
    </w:p>
    <w:p>
      <w:pPr>
        <w:keepNext w:val="0"/>
        <w:ind w:firstLine="709"/>
        <w:jc w:val="both"/>
      </w:pPr>
      <w:r>
        <w:t>Вывод: в Ozon Tracker реализованы светлая и тёмная темы, переключение оформления и сохранение выбора пользователя. Семантические CSS-переменные обеспечивают единое оформление компонентов; расчёт контраста выявил отдельные сочетания, требующие доработки.</w:t>
      </w:r>
    </w:p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83" w:lineRule="exact"/>
      <w:ind w:firstLine="709"/>
    </w:pPr>
    <w:rPr>
      <w:rFonts w:ascii="Times New Roman" w:hAnsi="Times New Roman" w:eastAsia="Times New Roman" w:cs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№6. Тёмная и светлая темы. Ozon Tracker</dc:title>
  <dc:subject>Проектирование и разработка интерфейсов пользователя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