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text" w:horzAnchor="page" w:tblpX="1073" w:tblpY="634"/>
        <w:tblOverlap w:val="never"/>
        <w:tblW w:w="101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"/>
        <w:gridCol w:w="1669"/>
        <w:gridCol w:w="4960"/>
        <w:gridCol w:w="1098"/>
        <w:gridCol w:w="17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10144" w:type="dxa"/>
            <w:gridSpan w:val="5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/>
                <w:b/>
                <w:bCs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2"/>
                <w:szCs w:val="22"/>
                <w:highlight w:val="none"/>
                <w:lang w:val="en-US" w:eastAsia="zh-CN"/>
              </w:rPr>
              <w:t>程序文件清单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vAlign w:val="center"/>
          </w:tcPr>
          <w:p>
            <w:pPr>
              <w:adjustRightInd w:val="0"/>
              <w:snapToGrid w:val="0"/>
              <w:spacing w:line="240" w:lineRule="auto"/>
              <w:jc w:val="center"/>
              <w:rPr>
                <w:b/>
                <w:bCs/>
                <w:color w:val="auto"/>
                <w:sz w:val="20"/>
                <w:szCs w:val="20"/>
                <w:highlight w:val="none"/>
              </w:rPr>
            </w:pPr>
            <w:r>
              <w:rPr>
                <w:rFonts w:hint="eastAsia"/>
                <w:b/>
                <w:bCs/>
                <w:color w:val="auto"/>
                <w:sz w:val="20"/>
                <w:szCs w:val="20"/>
                <w:highlight w:val="none"/>
              </w:rPr>
              <w:t>序号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b/>
                <w:bCs/>
                <w:color w:val="auto"/>
                <w:sz w:val="20"/>
                <w:szCs w:val="20"/>
                <w:highlight w:val="none"/>
              </w:rPr>
            </w:pPr>
            <w:r>
              <w:rPr>
                <w:rFonts w:hint="eastAsia"/>
                <w:b/>
                <w:bCs/>
                <w:color w:val="auto"/>
                <w:sz w:val="20"/>
                <w:szCs w:val="20"/>
                <w:highlight w:val="none"/>
              </w:rPr>
              <w:t>文件编号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b/>
                <w:bCs/>
                <w:color w:val="auto"/>
                <w:sz w:val="20"/>
                <w:szCs w:val="20"/>
                <w:highlight w:val="none"/>
              </w:rPr>
            </w:pPr>
            <w:r>
              <w:rPr>
                <w:rFonts w:hint="eastAsia"/>
                <w:b/>
                <w:bCs/>
                <w:color w:val="auto"/>
                <w:sz w:val="20"/>
                <w:szCs w:val="20"/>
                <w:highlight w:val="none"/>
              </w:rPr>
              <w:t>文件名称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eastAsia="宋体"/>
                <w:b/>
                <w:bCs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0"/>
                <w:szCs w:val="20"/>
                <w:highlight w:val="none"/>
                <w:lang w:val="en-US" w:eastAsia="zh-CN"/>
              </w:rPr>
              <w:t>版次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/>
                <w:b/>
                <w:bCs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0"/>
                <w:szCs w:val="20"/>
                <w:highlight w:val="none"/>
                <w:lang w:val="en-US" w:eastAsia="zh-CN"/>
              </w:rPr>
              <w:t>所属部门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eastAsia="宋体"/>
                <w:b/>
                <w:bCs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1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0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1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《组织环境与相关方要求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管理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管理层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color w:val="auto"/>
                <w:sz w:val="20"/>
                <w:szCs w:val="20"/>
                <w:highlight w:val="none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2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02-2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《风险和机遇的应对措施控制程序》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管理层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color w:val="auto"/>
                <w:sz w:val="20"/>
                <w:szCs w:val="20"/>
                <w:highlight w:val="none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3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03-2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《文件控制程序》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综合办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color w:val="auto"/>
                <w:sz w:val="20"/>
                <w:szCs w:val="20"/>
                <w:highlight w:val="none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4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04-2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《记录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管理控制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综合办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color w:val="auto"/>
                <w:sz w:val="20"/>
                <w:szCs w:val="20"/>
                <w:highlight w:val="none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5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05-2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</w:rPr>
              <w:t>《组织知识</w:t>
            </w: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/>
              </w:rPr>
              <w:t>管理</w:t>
            </w:r>
            <w:r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</w:rPr>
              <w:t>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综合办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color w:val="auto"/>
                <w:sz w:val="20"/>
                <w:szCs w:val="20"/>
                <w:highlight w:val="none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6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06-2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《协商与沟通控制程序》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管理层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color w:val="auto"/>
                <w:sz w:val="20"/>
                <w:szCs w:val="20"/>
                <w:highlight w:val="none"/>
                <w:lang w:val="en-US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7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2-0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7-2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《人力资源控制程序》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综合办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color w:val="auto"/>
                <w:sz w:val="20"/>
                <w:szCs w:val="20"/>
                <w:highlight w:val="none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8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08-3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 xml:space="preserve"> 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《公司组织架构与岗位职责》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3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综合办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color w:val="auto"/>
                <w:sz w:val="20"/>
                <w:szCs w:val="20"/>
                <w:highlight w:val="none"/>
                <w:lang w:val="en-US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9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2-0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9-2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《销售管理控制程序》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销售</w:t>
            </w: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</w:rPr>
              <w:t>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color w:val="auto"/>
                <w:sz w:val="20"/>
                <w:szCs w:val="20"/>
                <w:highlight w:val="none"/>
                <w:lang w:val="en-US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10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10-3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《顾客满意度调查与反馈控制程序》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3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销售</w:t>
            </w: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</w:rPr>
              <w:t>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11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11-3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hint="eastAsia"/>
                <w:color w:val="auto"/>
                <w:sz w:val="20"/>
                <w:szCs w:val="20"/>
                <w:highlight w:val="none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《监视和测量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设备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3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品质部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12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12-2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《项目管理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及APQP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技术部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13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13-2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设计及变更管理控制程序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技术部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14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14-2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《采购管理控制程序》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采购部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15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15-3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《供应商评选与管理控制程序》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3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采购部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16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16-2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《生产过程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管理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生产</w:t>
            </w: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/</w:t>
            </w: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机加部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17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17-2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《设备设施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及生产环境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管理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生产</w:t>
            </w: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/</w:t>
            </w: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机加部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18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18-3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 xml:space="preserve"> 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《工装夹具管理控制程序》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3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生产</w:t>
            </w: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/</w:t>
            </w: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机加部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19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19-3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《仓库管理控制程序》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3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仓库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20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20-2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《产品防护控制程序》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仓库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21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21-2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《产品监视和测量控制程序》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品质</w:t>
            </w: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</w:rPr>
              <w:t>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22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22-3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《不合格品控制程序》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3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品质</w:t>
            </w: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</w:rPr>
              <w:t>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23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2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3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-1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《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产品审核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1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品质</w:t>
            </w: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</w:rPr>
              <w:t>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24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2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4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《数据分析控制程序》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品质</w:t>
            </w: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</w:rPr>
              <w:t>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25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2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5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《标识和可追溯性控制程序》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品质</w:t>
            </w: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</w:rPr>
              <w:t>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26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26-2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《内部审核控制程序》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管理层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27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27-2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《管理评审控制程序》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管理层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28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28-2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《纠正预防控制程序》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品质</w:t>
            </w: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</w:rPr>
              <w:t>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29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29-3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《持续改进控制程序》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3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品质</w:t>
            </w: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</w:rPr>
              <w:t>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30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30-2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《关键元器件和材料的定期确认检验控制程序》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品质</w:t>
            </w: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</w:rPr>
              <w:t>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3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1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3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1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-2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 xml:space="preserve"> 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《例行检验和确认检验控制程序》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品质</w:t>
            </w: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</w:rPr>
              <w:t>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3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32-2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《认证产品产品一致性控制程序》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技术</w:t>
            </w: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</w:rPr>
              <w:t>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33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33-2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《认证产品变更控制程序》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技术部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34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34-2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0"/>
                <w:szCs w:val="20"/>
                <w:highlight w:val="none"/>
              </w:rPr>
              <w:t>CCC证书</w:t>
            </w:r>
            <w:r>
              <w:rPr>
                <w:rFonts w:hint="eastAsia" w:cs="宋体"/>
                <w:b w:val="0"/>
                <w:bCs w:val="0"/>
                <w:color w:val="auto"/>
                <w:sz w:val="20"/>
                <w:szCs w:val="20"/>
                <w:highlight w:val="none"/>
                <w:lang w:val="en-US" w:eastAsia="zh-CN"/>
              </w:rPr>
              <w:t>管理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0"/>
                <w:szCs w:val="20"/>
                <w:highlight w:val="none"/>
              </w:rPr>
              <w:t>及标志使用控制程序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品质</w:t>
            </w: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</w:rPr>
              <w:t>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35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35-2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《法律法规收集与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管理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管理层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36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36-2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《环境因素识别、评价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和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管理层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37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37-2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《资能源管理程序》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管理层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38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38-2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《危险源辨识、风险评价和风险控制程序》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管理层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39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39-2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《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化学品管理控制程序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仓库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40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40-2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《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消防安全管理程序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生产</w:t>
            </w: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/</w:t>
            </w: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机加部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41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41-2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《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员工健康安全控制程序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综合办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42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42-2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《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特种设备管理控制程序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生产</w:t>
            </w: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/</w:t>
            </w: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机加部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43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43-2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《废弃物管理控制程序》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管理层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44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44-2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《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劳动防护用品管理程序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综合办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45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45-2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  <w:t>《</w:t>
            </w:r>
            <w:r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  <w:t>管理方针、目标、指标和管理方案控制程序</w:t>
            </w: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  <w:t>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管理层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46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46-2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《环境、职业健康安全运行控制程序》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管理层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47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47-2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  <w:t>《</w:t>
            </w:r>
            <w:r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  <w:t>新、扩、改建项目管理控制程序</w:t>
            </w: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  <w:t>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管理层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48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48-2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《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相关方需求和期望控制程序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采购部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49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49-3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《应急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计划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和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响应控制程序》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3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生产</w:t>
            </w: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/</w:t>
            </w: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机加部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50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50-2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《环境、职业健康安全监测和测量控制程序》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品质</w:t>
            </w: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</w:rPr>
              <w:t>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51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51-2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《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合规性评价控制程序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管理层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52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52-2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hint="eastAsia" w:ascii="宋体" w:hAnsi="宋体" w:eastAsia="宋体" w:cs="宋体"/>
                <w:color w:val="auto"/>
                <w:sz w:val="20"/>
                <w:szCs w:val="20"/>
                <w:highlight w:val="none"/>
                <w:lang w:val="zh-CN" w:eastAsia="zh-CN" w:bidi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《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</w:rPr>
              <w:t>事故（事件）报告、调查与处理控制程序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</w:pPr>
            <w:r>
              <w:rPr>
                <w:rFonts w:hint="eastAsia" w:cs="宋体"/>
                <w:color w:val="auto"/>
                <w:sz w:val="20"/>
                <w:szCs w:val="20"/>
                <w:highlight w:val="none"/>
                <w:lang w:val="en-US" w:eastAsia="zh-CN" w:bidi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 w:bidi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综合办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53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53-1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《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FMEA控制程序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1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技术部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54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54-1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《生产件批准管理程序PPAP》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1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技术部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55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55-1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《样品确认与小批试用控制程序》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1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eastAsia="zh-CN"/>
              </w:rPr>
              <w:t>技术部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56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HL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/>
              </w:rPr>
              <w:t>2-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56-1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《功能安全产品证书管理及标志使用控制程序》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1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技术部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57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 xml:space="preserve">HL2-57-1 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《有害物质控制程序》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1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技术部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58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 xml:space="preserve">HL2-58-2 </w:t>
            </w:r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《过程审核控制程序》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管理层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5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59</w:t>
            </w:r>
          </w:p>
        </w:tc>
        <w:tc>
          <w:tcPr>
            <w:tcW w:w="166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HL2-5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9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-</w:t>
            </w: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1</w:t>
            </w:r>
            <w:bookmarkStart w:id="0" w:name="_GoBack"/>
            <w:bookmarkEnd w:id="0"/>
          </w:p>
        </w:tc>
        <w:tc>
          <w:tcPr>
            <w:tcW w:w="4960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both"/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eastAsia="zh-CN"/>
              </w:rPr>
              <w:t>《PPEP零部件认证控制程序》</w:t>
            </w:r>
          </w:p>
        </w:tc>
        <w:tc>
          <w:tcPr>
            <w:tcW w:w="1098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highlight w:val="none"/>
                <w:lang w:val="en-US" w:eastAsia="zh-CN"/>
              </w:rPr>
              <w:t>1</w:t>
            </w:r>
          </w:p>
        </w:tc>
        <w:tc>
          <w:tcPr>
            <w:tcW w:w="1759" w:type="dxa"/>
            <w:vAlign w:val="center"/>
          </w:tcPr>
          <w:p>
            <w:pPr>
              <w:adjustRightInd w:val="0"/>
              <w:snapToGrid w:val="0"/>
              <w:spacing w:line="240" w:lineRule="exact"/>
              <w:jc w:val="center"/>
              <w:rPr>
                <w:rFonts w:hint="default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采购部</w:t>
            </w:r>
          </w:p>
        </w:tc>
      </w:tr>
    </w:tbl>
    <w:p>
      <w:pPr>
        <w:spacing w:before="81" w:line="240" w:lineRule="auto"/>
        <w:jc w:val="center"/>
        <w:rPr>
          <w:b/>
          <w:w w:val="99"/>
          <w:sz w:val="32"/>
          <w:szCs w:val="32"/>
        </w:rPr>
      </w:pPr>
    </w:p>
    <w:sectPr>
      <w:pgSz w:w="11906" w:h="16838"/>
      <w:pgMar w:top="851" w:right="646" w:bottom="807" w:left="700" w:header="41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M4ODhhYTBhMWE2ZTU4Y2ExNmRmMGU0ZjZiYzgyMTgifQ=="/>
  </w:docVars>
  <w:rsids>
    <w:rsidRoot w:val="36392BDD"/>
    <w:rsid w:val="00ED33C1"/>
    <w:rsid w:val="02DA2E03"/>
    <w:rsid w:val="03646A97"/>
    <w:rsid w:val="06631BAB"/>
    <w:rsid w:val="076330DD"/>
    <w:rsid w:val="099F052B"/>
    <w:rsid w:val="09B259AA"/>
    <w:rsid w:val="0D481F8D"/>
    <w:rsid w:val="12C96D4F"/>
    <w:rsid w:val="14766069"/>
    <w:rsid w:val="154A0780"/>
    <w:rsid w:val="1787407A"/>
    <w:rsid w:val="184F0509"/>
    <w:rsid w:val="18B76E9A"/>
    <w:rsid w:val="1CF81FFF"/>
    <w:rsid w:val="25AB1908"/>
    <w:rsid w:val="2769396F"/>
    <w:rsid w:val="28AF3789"/>
    <w:rsid w:val="2B18040C"/>
    <w:rsid w:val="2C4509EF"/>
    <w:rsid w:val="2CC807E2"/>
    <w:rsid w:val="2DC702B2"/>
    <w:rsid w:val="2FCA6C30"/>
    <w:rsid w:val="31115FA2"/>
    <w:rsid w:val="35E734FA"/>
    <w:rsid w:val="36392BDD"/>
    <w:rsid w:val="36F77A77"/>
    <w:rsid w:val="3A1906E6"/>
    <w:rsid w:val="3BAC0DB8"/>
    <w:rsid w:val="3D7021B3"/>
    <w:rsid w:val="3FA01B98"/>
    <w:rsid w:val="40DB4533"/>
    <w:rsid w:val="43E06BC0"/>
    <w:rsid w:val="455A5B67"/>
    <w:rsid w:val="477C4180"/>
    <w:rsid w:val="47DF2B1F"/>
    <w:rsid w:val="48B262E1"/>
    <w:rsid w:val="498C3295"/>
    <w:rsid w:val="4C2518F0"/>
    <w:rsid w:val="535725A6"/>
    <w:rsid w:val="554F0614"/>
    <w:rsid w:val="5CEE64CB"/>
    <w:rsid w:val="5D861BCD"/>
    <w:rsid w:val="5E537A3C"/>
    <w:rsid w:val="604C1FB5"/>
    <w:rsid w:val="61A076DC"/>
    <w:rsid w:val="6BCF2A6A"/>
    <w:rsid w:val="6C341CB9"/>
    <w:rsid w:val="6C9B5B88"/>
    <w:rsid w:val="6E010A7F"/>
    <w:rsid w:val="6F45646A"/>
    <w:rsid w:val="787F67EF"/>
    <w:rsid w:val="7A206CF8"/>
    <w:rsid w:val="7B6415EF"/>
    <w:rsid w:val="7EF2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qFormat/>
    <w:uiPriority w:val="1"/>
    <w:pPr>
      <w:spacing w:before="161"/>
    </w:pPr>
    <w:rPr>
      <w:sz w:val="24"/>
      <w:szCs w:val="24"/>
    </w:r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1156</Words>
  <Characters>1630</Characters>
  <Lines>0</Lines>
  <Paragraphs>0</Paragraphs>
  <TotalTime>9</TotalTime>
  <ScaleCrop>false</ScaleCrop>
  <LinksUpToDate>false</LinksUpToDate>
  <CharactersWithSpaces>1635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2022-10-13T00:38:00Z</dcterms:created>
  <dc:creator>Administrator</dc:creator>
  <cp:lastModifiedBy>崔海超</cp:lastModifiedBy>
  <cp:lastPrinted>2024-10-29T07:46:00Z</cp:lastPrinted>
  <dcterms:modified xsi:type="dcterms:W3CDTF">2024-10-30T02:11:25Z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E48B28864737498CA962DEADBF0FDE96</vt:lpwstr>
  </property>
</Properties>
</file>