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Intelligence Agent 运筹分析模块需求表 V3.0</w:t>
      </w:r>
    </w:p>
    <w:p>
      <w:r>
        <w:rPr>
          <w:b/>
        </w:rPr>
        <w:t>实施设计说明｜需求设计稿｜版本 V3.0</w:t>
      </w:r>
    </w:p>
    <w:p>
      <w:r>
        <w:t>目标：将情报研究、证据治理、统计分析、预测评估、运筹方法、模型健康监控与受控 Agent 编排统一为可实施、可审计、可验收的需求体系。</w:t>
      </w:r>
    </w:p>
    <w:p>
      <w:pPr>
        <w:pStyle w:val="Heading1"/>
      </w:pPr>
      <w:r>
        <w:t>1. 本版核心决策</w:t>
      </w:r>
    </w:p>
    <w:p>
      <w:pPr>
        <w:pStyle w:val="ListBullet"/>
      </w:pPr>
      <w:r>
        <w:t>不把所有算法无差别塞入核心 Agent；采用“核心流程 + 按需插件 + 适用性检查 + 独立质量门”。</w:t>
      </w:r>
    </w:p>
    <w:p>
      <w:pPr>
        <w:pStyle w:val="ListBullet"/>
      </w:pPr>
      <w:r>
        <w:t>新增数据质量、EDA、特征工程、模型选择、模型评估和模型健康监控，同时保留证据链、来源独立性、竞争性假设、预测登记、审计与权限门。</w:t>
      </w:r>
    </w:p>
    <w:p>
      <w:pPr>
        <w:pStyle w:val="ListBullet"/>
      </w:pPr>
      <w:r>
        <w:t>区分相关、预测、因果、评分、概率和优化。算法运行成功不等于结论成立。</w:t>
      </w:r>
    </w:p>
    <w:p>
      <w:pPr>
        <w:pStyle w:val="ListBullet"/>
      </w:pPr>
      <w:r>
        <w:t>“数据可信度 0–100”不能直接作为事实为真的概率；模型选择不能只靠固定规则；PCA 与因子分析不可混为一谈。</w:t>
      </w:r>
    </w:p>
    <w:p>
      <w:pPr>
        <w:pStyle w:val="ListBullet"/>
      </w:pPr>
      <w:r>
        <w:t>自动执行默认只读；外部写入需预览和确认，高影响/不可逆操作必须人工主导。</w:t>
      </w:r>
    </w:p>
    <w:p>
      <w:pPr>
        <w:pStyle w:val="Heading1"/>
      </w:pPr>
      <w:r>
        <w:t>2. 目标架构</w:t>
      </w:r>
    </w:p>
    <w:p>
      <w:pPr>
        <w:pStyle w:val="ListBullet"/>
      </w:pPr>
      <w:r>
        <w:t>任务契约与采集 → 数据治理 → EDA → 特征工程（按需）→ 关系发现/因果审查 → 模型选择 → 评估验证 → 预测推演 → 决策优化/仿真 → 风险预警 → 报告交付。</w:t>
      </w:r>
    </w:p>
    <w:p>
      <w:pPr>
        <w:pStyle w:val="ListBullet"/>
      </w:pPr>
      <w:r>
        <w:t>横向能力：M11 知识图谱、M12 证据链、M14 权限治理、M15 指标体系、M16 多指标评价、M17 运筹算法库、M19 Agent 编排、M20 模型健康监控。</w:t>
      </w:r>
    </w:p>
    <w:p>
      <w:pPr>
        <w:pStyle w:val="ListBullet"/>
      </w:pPr>
      <w:r>
        <w:t>M10 负责业务风险事件和告警质量；M20 负责模型/数据漂移、假设破坏、性能退化、模型版本与回滚。</w:t>
      </w:r>
    </w:p>
    <w:p>
      <w:pPr>
        <w:pStyle w:val="Heading1"/>
      </w:pPr>
      <w:r>
        <w:t>3. 模块编号与旧版兼容</w:t>
      </w:r>
    </w:p>
    <w:p>
      <w:pPr>
        <w:pStyle w:val="ListBullet"/>
      </w:pPr>
      <w:r>
        <w:t>旧版《整合需求规格》使用 14 个逻辑模块编号，其 M1–M14 含义与本版 M1–M20 不完全相同。本表作为 V3.0 新的功能模块编号基准。</w:t>
      </w:r>
    </w:p>
    <w:p>
      <w:pPr>
        <w:pStyle w:val="ListBullet"/>
      </w:pPr>
      <w:r>
        <w:t>旧版文件保留为历史版本；代码与配置优先使用 data_quality、eda、forecast_register 等稳定语义键，避免仅以 M2 等编号作为唯一标识。</w:t>
      </w:r>
    </w:p>
    <w:p>
      <w:pPr>
        <w:pStyle w:val="ListBullet"/>
      </w:pPr>
      <w:r>
        <w:t>迁移时建立 legacy_module_id → v3_module_id 对照表；允许旧模块拆分到多个新模块。需求编号如 M2.1 应稳定维护，避免静默改义。</w:t>
      </w:r>
    </w:p>
    <w:p>
      <w:pPr>
        <w:pStyle w:val="Heading1"/>
      </w:pPr>
      <w:r>
        <w:t>4. 分阶段实施</w:t>
      </w:r>
    </w:p>
    <w:p>
      <w:pPr>
        <w:pStyle w:val="ListBullet"/>
      </w:pPr>
      <w:r>
        <w:t>阶段0：准备30–50个代表任务，覆盖事实核查、冲突证据、数据质量、低样本统计、时序、因果、预测、告警、优化约束和权限风险；固化Schema、术语、阈值版本和不可接受错误。</w:t>
      </w:r>
    </w:p>
    <w:p>
      <w:pPr>
        <w:pStyle w:val="ListBullet"/>
      </w:pPr>
      <w:r>
        <w:t>阶段1 / P0：M1基础、M2基础、M3 EDA、M4基础特征、M5因果审查门、M6任务识别与路由、M7基础评估、M8预测登记、M12证据链、M13报告、M14权限门、M19状态机。验收：证据可追溯、数字可复算、失败可见、未执行不伪装成功、未授权动作被阻断。</w:t>
      </w:r>
    </w:p>
    <w:p>
      <w:pPr>
        <w:pStyle w:val="ListBullet"/>
      </w:pPr>
      <w:r>
        <w:t>阶段2 / P1：推断统计、多变量EDA、特征选择/PCA、网络关系、候选模型比较、稳健性、时序预测、告警影子运行、实体图谱、指标字典、AHP/MEREC/FCE、漂移监控。每个插件须有适用条件、边界测试、版本和标准算例。</w:t>
      </w:r>
    </w:p>
    <w:p>
      <w:pPr>
        <w:pStyle w:val="ListBullet"/>
      </w:pPr>
      <w:r>
        <w:t>阶段3 / P2：因子分析、高级因果、Pareto、多目标优化、排程、CRADIS、求解器、蒙特卡洛、离散事件仿真、多Agent。论文公式和算例未核验前不得声称复现。</w:t>
      </w:r>
    </w:p>
    <w:p>
      <w:pPr>
        <w:pStyle w:val="ListBullet"/>
      </w:pPr>
      <w:r>
        <w:t>阶段4：接入授权连接器、定时任务、外部写入预览、审批、幂等、回滚、成本和运行监控。权限违规目标为0；审批和回滚演练通过。</w:t>
      </w:r>
    </w:p>
    <w:p>
      <w:pPr>
        <w:pStyle w:val="Heading1"/>
      </w:pPr>
      <w:r>
        <w:t>5. 核心验收原则</w:t>
      </w:r>
    </w:p>
    <w:p>
      <w:pPr>
        <w:pStyle w:val="ListBullet"/>
      </w:pPr>
      <w:r>
        <w:t>证据：引用覆盖率、原始来源比例、独立来源簇、冲突保留率、访问失败可见性。</w:t>
      </w:r>
    </w:p>
    <w:p>
      <w:pPr>
        <w:pStyle w:val="ListBullet"/>
      </w:pPr>
      <w:r>
        <w:t>数据：缺失、重复、时间断裂、口径差异、异常值和清洗动作均可追溯。</w:t>
      </w:r>
    </w:p>
    <w:p>
      <w:pPr>
        <w:pStyle w:val="ListBullet"/>
      </w:pPr>
      <w:r>
        <w:t>统计：报告样本量、效应量、区间、假设、方法选择理由；适用时进行FDR和稳健性检查。</w:t>
      </w:r>
    </w:p>
    <w:p>
      <w:pPr>
        <w:pStyle w:val="ListBullet"/>
      </w:pPr>
      <w:r>
        <w:t>模型：与简单基线比较，防止数据泄漏；按任务报告校准、分层性能和不确定性。</w:t>
      </w:r>
    </w:p>
    <w:p>
      <w:pPr>
        <w:pStyle w:val="ListBullet"/>
      </w:pPr>
      <w:r>
        <w:t>预测：事件定义、基率、截止时间、证伪锚点、Brier/Log Loss、校准和到期对账。</w:t>
      </w:r>
    </w:p>
    <w:p>
      <w:pPr>
        <w:pStyle w:val="ListBullet"/>
      </w:pPr>
      <w:r>
        <w:t>运筹：目标、硬约束、可行性、求解状态、敏感性和权衡明确。</w:t>
      </w:r>
    </w:p>
    <w:p>
      <w:pPr>
        <w:pStyle w:val="ListBullet"/>
      </w:pPr>
      <w:r>
        <w:t>安全与运行：工具白名单、最小权限、不可信内容隔离、审批、审计、回滚、成本、延迟、失败恢复和任务取消可观测。</w:t>
      </w:r>
    </w:p>
    <w:p>
      <w:pPr>
        <w:pStyle w:val="ListBullet"/>
      </w:pPr>
      <w:r>
        <w:t>初期不要给所有指标设统一合格线；先用基准集建立基线，再按领域风险和业务损失制定门槛。</w:t>
      </w:r>
    </w:p>
    <w:p>
      <w:pPr>
        <w:pStyle w:val="Heading1"/>
      </w:pPr>
      <w:r>
        <w:t>6. 关键方法边界</w:t>
      </w:r>
    </w:p>
    <w:p>
      <w:pPr>
        <w:pStyle w:val="ListBullet"/>
      </w:pPr>
      <w:r>
        <w:t>Pearson/Spearman：关联不是因果，相关系数也不是证据可信度。</w:t>
      </w:r>
    </w:p>
    <w:p>
      <w:pPr>
        <w:pStyle w:val="ListBullet"/>
      </w:pPr>
      <w:r>
        <w:t>t检验/ANOVA：组间差异不自动表示因素贡献或因果。</w:t>
      </w:r>
    </w:p>
    <w:p>
      <w:pPr>
        <w:pStyle w:val="ListBullet"/>
      </w:pPr>
      <w:r>
        <w:t>PCA 是方差压缩；因子分析依赖测量结构与样本条件。</w:t>
      </w:r>
    </w:p>
    <w:p>
      <w:pPr>
        <w:pStyle w:val="ListBullet"/>
      </w:pPr>
      <w:r>
        <w:t>LASSO/树模型重要度不是因果效应，必须防止测试集泄漏。</w:t>
      </w:r>
    </w:p>
    <w:p>
      <w:pPr>
        <w:pStyle w:val="ListBullet"/>
      </w:pPr>
      <w:r>
        <w:t>K-means/DBSCAN/EM 的聚类结果不保证自然类别存在；Apriori 共现规则不等于因果。</w:t>
      </w:r>
    </w:p>
    <w:p>
      <w:pPr>
        <w:pStyle w:val="ListBullet"/>
      </w:pPr>
      <w:r>
        <w:t>PageRank 取决于网络边界与边权，不等于现实控制力；Granger 先行预测关系不等于结构因果。</w:t>
      </w:r>
    </w:p>
    <w:p>
      <w:pPr>
        <w:pStyle w:val="ListBullet"/>
      </w:pPr>
      <w:r>
        <w:t>AHP/MEREC/FCE 权重或综合分不是事件概率；CRADIS 需按原文公式与算例复现。</w:t>
      </w:r>
    </w:p>
    <w:p>
      <w:pPr>
        <w:pStyle w:val="ListBullet"/>
      </w:pPr>
      <w:r>
        <w:t>Monte Carlo 受输入分布与相关结构支配；LP/MIP 必须区分可行、近似最优与证明最优。</w:t>
      </w:r>
    </w:p>
    <w:p>
      <w:pPr>
        <w:pStyle w:val="Heading1"/>
      </w:pPr>
      <w:r>
        <w:t>7. 建议核心数据对象</w:t>
      </w:r>
    </w:p>
    <w:p>
      <w:pPr>
        <w:pStyle w:val="ListBullet"/>
      </w:pPr>
      <w:r>
        <w:t>Project：任务目标、范围、状态、版本；Source：原始来源、访问时间、许可、发布者、转载簇、哈希。</w:t>
      </w:r>
    </w:p>
    <w:p>
      <w:pPr>
        <w:pStyle w:val="ListBullet"/>
      </w:pPr>
      <w:r>
        <w:t>Evidence/Claim：原文片段、定位、支持/反驳/冲突关系、事实/推断/预测/情景/价值判断类型。</w:t>
      </w:r>
    </w:p>
    <w:p>
      <w:pPr>
        <w:pStyle w:val="ListBullet"/>
      </w:pPr>
      <w:r>
        <w:t>Dataset/DataQualityReport：字段字典、口径、清洗变更、质量检查；AnalysisRun：输入哈希、方法版本、参数、环境、输出、错误。</w:t>
      </w:r>
    </w:p>
    <w:p>
      <w:pPr>
        <w:pStyle w:val="ListBullet"/>
      </w:pPr>
      <w:r>
        <w:t>ModelVersion：训练数据、特征定义、参数、评估、审批；Forecast/ForecastEvent：概率、区间、基率、截止时间、证伪锚点和结算结果。</w:t>
      </w:r>
    </w:p>
    <w:p>
      <w:pPr>
        <w:pStyle w:val="ListBullet"/>
      </w:pPr>
      <w:r>
        <w:t>Alert：规则版本、触发数据、去重组、状态；DecisionModel：目标、约束、权重来源、求解状态、敏感性；Approval/AuditEvent：审批、工具动作、执行结果、回滚与审计。</w:t>
      </w:r>
    </w:p>
    <w:p>
      <w:pPr>
        <w:pStyle w:val="Heading1"/>
      </w:pPr>
      <w:r>
        <w:t>8. Excel需求表使用方式</w:t>
      </w:r>
    </w:p>
    <w:p>
      <w:pPr>
        <w:pStyle w:val="ListBullet"/>
      </w:pPr>
      <w:r>
        <w:t>工作簿含四张表：V3需求矩阵、实施路线、验收指标、算法适用边界。</w:t>
      </w:r>
    </w:p>
    <w:p>
      <w:pPr>
        <w:pStyle w:val="ListBullet"/>
      </w:pPr>
      <w:r>
        <w:t>建议先把 P0 需求映射到现有代码/数据库，标记已有、部分实现、未实现；为每个 P0 建立自动化测试和失败用例。</w:t>
      </w:r>
    </w:p>
    <w:p>
      <w:pPr>
        <w:pStyle w:val="ListBullet"/>
      </w:pPr>
      <w:r>
        <w:t>先打通证据链、分析运行记录、预测登记与独立审查的端到端流程，再接入真实连接器和高级插件，最后启用多Agent和外部写入自动化。</w:t>
      </w:r>
    </w:p>
    <w:p>
      <w:pPr>
        <w:pStyle w:val="Heading1"/>
      </w:pPr>
      <w:r>
        <w:t>9. V3.0 模块总览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编号</w:t>
            </w:r>
          </w:p>
        </w:tc>
        <w:tc>
          <w:tcPr>
            <w:tcW w:type="dxa" w:w="5112"/>
          </w:tcPr>
          <w:p>
            <w:r>
              <w:t>模块</w:t>
            </w:r>
          </w:p>
        </w:tc>
      </w:tr>
      <w:tr>
        <w:tc>
          <w:tcPr>
            <w:tcW w:type="dxa" w:w="5112"/>
          </w:tcPr>
          <w:p>
            <w:r>
              <w:t>M1</w:t>
            </w:r>
          </w:p>
        </w:tc>
        <w:tc>
          <w:tcPr>
            <w:tcW w:type="dxa" w:w="5112"/>
          </w:tcPr>
          <w:p>
            <w:r>
              <w:t>数据采集与任务规划</w:t>
            </w:r>
          </w:p>
        </w:tc>
      </w:tr>
      <w:tr>
        <w:tc>
          <w:tcPr>
            <w:tcW w:type="dxa" w:w="5112"/>
          </w:tcPr>
          <w:p>
            <w:r>
              <w:t>M2</w:t>
            </w:r>
          </w:p>
        </w:tc>
        <w:tc>
          <w:tcPr>
            <w:tcW w:type="dxa" w:w="5112"/>
          </w:tcPr>
          <w:p>
            <w:r>
              <w:t>数据治理与统计分析</w:t>
            </w:r>
          </w:p>
        </w:tc>
      </w:tr>
      <w:tr>
        <w:tc>
          <w:tcPr>
            <w:tcW w:type="dxa" w:w="5112"/>
          </w:tcPr>
          <w:p>
            <w:r>
              <w:t>M3</w:t>
            </w:r>
          </w:p>
        </w:tc>
        <w:tc>
          <w:tcPr>
            <w:tcW w:type="dxa" w:w="5112"/>
          </w:tcPr>
          <w:p>
            <w:r>
              <w:t>探索性数据分析 EDA</w:t>
            </w:r>
          </w:p>
        </w:tc>
      </w:tr>
      <w:tr>
        <w:tc>
          <w:tcPr>
            <w:tcW w:type="dxa" w:w="5112"/>
          </w:tcPr>
          <w:p>
            <w:r>
              <w:t>M4</w:t>
            </w:r>
          </w:p>
        </w:tc>
        <w:tc>
          <w:tcPr>
            <w:tcW w:type="dxa" w:w="5112"/>
          </w:tcPr>
          <w:p>
            <w:r>
              <w:t>特征工程</w:t>
            </w:r>
          </w:p>
        </w:tc>
      </w:tr>
      <w:tr>
        <w:tc>
          <w:tcPr>
            <w:tcW w:type="dxa" w:w="5112"/>
          </w:tcPr>
          <w:p>
            <w:r>
              <w:t>M5</w:t>
            </w:r>
          </w:p>
        </w:tc>
        <w:tc>
          <w:tcPr>
            <w:tcW w:type="dxa" w:w="5112"/>
          </w:tcPr>
          <w:p>
            <w:r>
              <w:t>关系与因果分析</w:t>
            </w:r>
          </w:p>
        </w:tc>
      </w:tr>
      <w:tr>
        <w:tc>
          <w:tcPr>
            <w:tcW w:type="dxa" w:w="5112"/>
          </w:tcPr>
          <w:p>
            <w:r>
              <w:t>M6</w:t>
            </w:r>
          </w:p>
        </w:tc>
        <w:tc>
          <w:tcPr>
            <w:tcW w:type="dxa" w:w="5112"/>
          </w:tcPr>
          <w:p>
            <w:r>
              <w:t>模型选择 Agent</w:t>
            </w:r>
          </w:p>
        </w:tc>
      </w:tr>
      <w:tr>
        <w:tc>
          <w:tcPr>
            <w:tcW w:type="dxa" w:w="5112"/>
          </w:tcPr>
          <w:p>
            <w:r>
              <w:t>M7</w:t>
            </w:r>
          </w:p>
        </w:tc>
        <w:tc>
          <w:tcPr>
            <w:tcW w:type="dxa" w:w="5112"/>
          </w:tcPr>
          <w:p>
            <w:r>
              <w:t>模型评估与验证</w:t>
            </w:r>
          </w:p>
        </w:tc>
      </w:tr>
      <w:tr>
        <w:tc>
          <w:tcPr>
            <w:tcW w:type="dxa" w:w="5112"/>
          </w:tcPr>
          <w:p>
            <w:r>
              <w:t>M8</w:t>
            </w:r>
          </w:p>
        </w:tc>
        <w:tc>
          <w:tcPr>
            <w:tcW w:type="dxa" w:w="5112"/>
          </w:tcPr>
          <w:p>
            <w:r>
              <w:t>预测推演</w:t>
            </w:r>
          </w:p>
        </w:tc>
      </w:tr>
      <w:tr>
        <w:tc>
          <w:tcPr>
            <w:tcW w:type="dxa" w:w="5112"/>
          </w:tcPr>
          <w:p>
            <w:r>
              <w:t>M9</w:t>
            </w:r>
          </w:p>
        </w:tc>
        <w:tc>
          <w:tcPr>
            <w:tcW w:type="dxa" w:w="5112"/>
          </w:tcPr>
          <w:p>
            <w:r>
              <w:t>优化决策</w:t>
            </w:r>
          </w:p>
        </w:tc>
      </w:tr>
      <w:tr>
        <w:tc>
          <w:tcPr>
            <w:tcW w:type="dxa" w:w="5112"/>
          </w:tcPr>
          <w:p>
            <w:r>
              <w:t>M10</w:t>
            </w:r>
          </w:p>
        </w:tc>
        <w:tc>
          <w:tcPr>
            <w:tcW w:type="dxa" w:w="5112"/>
          </w:tcPr>
          <w:p>
            <w:r>
              <w:t>风险预警与模型健康</w:t>
            </w:r>
          </w:p>
        </w:tc>
      </w:tr>
      <w:tr>
        <w:tc>
          <w:tcPr>
            <w:tcW w:type="dxa" w:w="5112"/>
          </w:tcPr>
          <w:p>
            <w:r>
              <w:t>M11</w:t>
            </w:r>
          </w:p>
        </w:tc>
        <w:tc>
          <w:tcPr>
            <w:tcW w:type="dxa" w:w="5112"/>
          </w:tcPr>
          <w:p>
            <w:r>
              <w:t>知识图谱与实体解析</w:t>
            </w:r>
          </w:p>
        </w:tc>
      </w:tr>
      <w:tr>
        <w:tc>
          <w:tcPr>
            <w:tcW w:type="dxa" w:w="5112"/>
          </w:tcPr>
          <w:p>
            <w:r>
              <w:t>M12</w:t>
            </w:r>
          </w:p>
        </w:tc>
        <w:tc>
          <w:tcPr>
            <w:tcW w:type="dxa" w:w="5112"/>
          </w:tcPr>
          <w:p>
            <w:r>
              <w:t>证据链与知识治理</w:t>
            </w:r>
          </w:p>
        </w:tc>
      </w:tr>
      <w:tr>
        <w:tc>
          <w:tcPr>
            <w:tcW w:type="dxa" w:w="5112"/>
          </w:tcPr>
          <w:p>
            <w:r>
              <w:t>M13</w:t>
            </w:r>
          </w:p>
        </w:tc>
        <w:tc>
          <w:tcPr>
            <w:tcW w:type="dxa" w:w="5112"/>
          </w:tcPr>
          <w:p>
            <w:r>
              <w:t>报告生成与接口</w:t>
            </w:r>
          </w:p>
        </w:tc>
      </w:tr>
      <w:tr>
        <w:tc>
          <w:tcPr>
            <w:tcW w:type="dxa" w:w="5112"/>
          </w:tcPr>
          <w:p>
            <w:r>
              <w:t>M14</w:t>
            </w:r>
          </w:p>
        </w:tc>
        <w:tc>
          <w:tcPr>
            <w:tcW w:type="dxa" w:w="5112"/>
          </w:tcPr>
          <w:p>
            <w:r>
              <w:t>权限治理与安全执行</w:t>
            </w:r>
          </w:p>
        </w:tc>
      </w:tr>
      <w:tr>
        <w:tc>
          <w:tcPr>
            <w:tcW w:type="dxa" w:w="5112"/>
          </w:tcPr>
          <w:p>
            <w:r>
              <w:t>M15</w:t>
            </w:r>
          </w:p>
        </w:tc>
        <w:tc>
          <w:tcPr>
            <w:tcW w:type="dxa" w:w="5112"/>
          </w:tcPr>
          <w:p>
            <w:r>
              <w:t>指标体系构建</w:t>
            </w:r>
          </w:p>
        </w:tc>
      </w:tr>
      <w:tr>
        <w:tc>
          <w:tcPr>
            <w:tcW w:type="dxa" w:w="5112"/>
          </w:tcPr>
          <w:p>
            <w:r>
              <w:t>M16</w:t>
            </w:r>
          </w:p>
        </w:tc>
        <w:tc>
          <w:tcPr>
            <w:tcW w:type="dxa" w:w="5112"/>
          </w:tcPr>
          <w:p>
            <w:r>
              <w:t>多指标评价</w:t>
            </w:r>
          </w:p>
        </w:tc>
      </w:tr>
      <w:tr>
        <w:tc>
          <w:tcPr>
            <w:tcW w:type="dxa" w:w="5112"/>
          </w:tcPr>
          <w:p>
            <w:r>
              <w:t>M17</w:t>
            </w:r>
          </w:p>
        </w:tc>
        <w:tc>
          <w:tcPr>
            <w:tcW w:type="dxa" w:w="5112"/>
          </w:tcPr>
          <w:p>
            <w:r>
              <w:t>运筹算法库</w:t>
            </w:r>
          </w:p>
        </w:tc>
      </w:tr>
      <w:tr>
        <w:tc>
          <w:tcPr>
            <w:tcW w:type="dxa" w:w="5112"/>
          </w:tcPr>
          <w:p>
            <w:r>
              <w:t>M18</w:t>
            </w:r>
          </w:p>
        </w:tc>
        <w:tc>
          <w:tcPr>
            <w:tcW w:type="dxa" w:w="5112"/>
          </w:tcPr>
          <w:p>
            <w:r>
              <w:t>仿真推演</w:t>
            </w:r>
          </w:p>
        </w:tc>
      </w:tr>
      <w:tr>
        <w:tc>
          <w:tcPr>
            <w:tcW w:type="dxa" w:w="5112"/>
          </w:tcPr>
          <w:p>
            <w:r>
              <w:t>M19</w:t>
            </w:r>
          </w:p>
        </w:tc>
        <w:tc>
          <w:tcPr>
            <w:tcW w:type="dxa" w:w="5112"/>
          </w:tcPr>
          <w:p>
            <w:r>
              <w:t>Agent 自治控制与编排</w:t>
            </w:r>
          </w:p>
        </w:tc>
      </w:tr>
      <w:tr>
        <w:tc>
          <w:tcPr>
            <w:tcW w:type="dxa" w:w="5112"/>
          </w:tcPr>
          <w:p>
            <w:r>
              <w:t>M20</w:t>
            </w:r>
          </w:p>
        </w:tc>
        <w:tc>
          <w:tcPr>
            <w:tcW w:type="dxa" w:w="5112"/>
          </w:tcPr>
          <w:p>
            <w:r>
              <w:t>模型健康监控</w:t>
            </w:r>
          </w:p>
        </w:tc>
      </w:tr>
    </w:tbl>
    <w:p>
      <w:r>
        <w:t>完整子功能矩阵、输入/算法/输出/限制/优先级/开发难度/验收条件请见配套 Excel。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