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</w:rPr>
      </w:pPr>
    </w:p>
    <w:p>
      <w:pPr>
        <w:ind w:left="25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WannaCry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1."Kill Switch"就是紧急开关的意思。WannaCry勒索病毒此前发作的时候会向某个域名发出请求，如果该域名存在就会退出，不存在则继续攻击</w:t>
      </w:r>
      <w:r>
        <w:rPr>
          <w:rFonts w:hint="eastAsia"/>
          <w:sz w:val="24"/>
          <w:szCs w:val="24"/>
          <w:lang w:val="en-US" w:eastAsia="zh-CN"/>
        </w:rPr>
        <w:t>.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"http://www.iuqerfsodp9ifjaposdfjhgosurijfaewrwergwea.com" </w:instrText>
      </w:r>
      <w:r>
        <w:rPr>
          <w:rFonts w:hint="eastAsia"/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http://www.iuqerfsodp9ifjaposdfjhgosurijfaewrwergwea.com</w:t>
      </w:r>
      <w:r>
        <w:rPr>
          <w:rFonts w:hint="eastAsia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http://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"http://www.freebuf.com/articles/system/134658.html"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www. ifferfsodp9ifjaposdfjhgosurijfaewrwergwea.com</w:t>
      </w:r>
      <w:r>
        <w:rPr>
          <w:rFonts w:hint="eastAsia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sz w:val="24"/>
          <w:szCs w:val="24"/>
        </w:rPr>
        <w:t>ETERNALBLUE模块是SMB 漏洞利用程序，可以攻击开放了 445 端口的 Windows 机器，实现远程命令执行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541905"/>
            <wp:effectExtent l="0" t="0" r="635" b="1079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eastAsia"/>
          <w:sz w:val="24"/>
          <w:szCs w:val="24"/>
        </w:rPr>
        <w:t>当攻击者利用泄露的工具成功入侵目标机器后，会在目标机器对应的SMB端口植入一个名为DoublePulsar的后门程序。远程攻击者可以利用该后门向目标机器植入dll或者shellcode：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4.分析流程</w:t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4629785" cy="4305935"/>
            <wp:effectExtent l="0" t="0" r="5715" b="12065"/>
            <wp:docPr id="1" name="图片 1" descr="14946885527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468855271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(1)</w:t>
      </w:r>
      <w:r>
        <w:rPr>
          <w:rFonts w:hint="eastAsia"/>
          <w:sz w:val="24"/>
          <w:szCs w:val="24"/>
        </w:rPr>
        <w:t>mssecsvc.exe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eastAsia"/>
          <w:sz w:val="24"/>
          <w:szCs w:val="24"/>
        </w:rPr>
        <w:t>、开关：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木马在网络上设置了一个开关，当本地计算机能够成功访问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"http://www.iuqerfsodp9ifjaposdfjhgosurijfaewrwergwea.com/" </w:instrText>
      </w:r>
      <w:r>
        <w:rPr>
          <w:rFonts w:hint="eastAsia"/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http://www.iuqerfsodp9ifjaposdfjhgosurijfaewrwergwea.com</w:t>
      </w:r>
      <w:r>
        <w:rPr>
          <w:rFonts w:hint="eastAsia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时，退出进程，不再进行传播感染。目前该域名已被安全公司接管。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2738755"/>
            <wp:effectExtent l="0" t="0" r="1079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(1)</w:t>
      </w:r>
      <w:r>
        <w:rPr>
          <w:rFonts w:hint="default"/>
          <w:color w:val="FF0000"/>
          <w:sz w:val="24"/>
          <w:szCs w:val="24"/>
        </w:rPr>
        <w:t>void *memcpy(void*dest, const void *src, size_t n);</w:t>
      </w:r>
    </w:p>
    <w:p>
      <w:pPr>
        <w:rPr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功能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由src指向地址为起始地址的连续n个字节的数据复制到以dest指向地址为起始地址的空间</w:t>
      </w:r>
      <w:bookmarkStart w:id="1" w:name="_GoBack"/>
      <w:bookmarkEnd w:id="1"/>
      <w:r>
        <w:rPr>
          <w:rFonts w:hint="default"/>
          <w:color w:val="FF0000"/>
          <w:sz w:val="24"/>
          <w:szCs w:val="24"/>
        </w:rPr>
        <w:t>内。</w:t>
      </w:r>
    </w:p>
    <w:p>
      <w:pPr>
        <w:rPr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头文件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#include&lt;string.h&gt;</w:t>
      </w:r>
    </w:p>
    <w:p>
      <w:pPr>
        <w:rPr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返回值</w:t>
      </w:r>
    </w:p>
    <w:p>
      <w:pPr>
        <w:ind w:firstLine="480"/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函数返回一个指向dest的指针。</w:t>
      </w:r>
    </w:p>
    <w:p>
      <w:pPr>
        <w:rPr>
          <w:rFonts w:hint="eastAsia" w:eastAsiaTheme="minorEastAsia"/>
          <w:color w:val="FF0000"/>
          <w:sz w:val="24"/>
          <w:szCs w:val="24"/>
          <w:lang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(2)</w:t>
      </w:r>
      <w:r>
        <w:rPr>
          <w:rFonts w:hint="default"/>
          <w:color w:val="FF0000"/>
        </w:rPr>
        <w:t>u是unsigned的意思，表示无符号数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(3)HINTERNET InternetOpen(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_In_ LPCTSTR lpszAgent,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_In_ DWORD dwAccessType,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_In_ LPCTSTR lpszProxyName,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_In_ LPCTSTR lpszProxyBypass,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_In_ DWORD dwFlags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);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 lpszAgent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指向一个 空结束的字符串，该字符串指定的应用程序或实体调用WinInet函数的名称。使用此名称作为用户代理的HTTP协议。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 dwAccessType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指定访问类型，参数可以是下列值之一：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INTERNET_OPEN_TYPE_DIRECT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使用直接连接网络。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INTERNET_OPEN_TYPE_PRECONFIG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获取代理或直接从注册表中的配置，使用代理连接网络。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INTERNET_OPEN_TYPE_PRECONFIG_WITH_NO_AUTOPROXY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获取代理或直接从注册表中的配置，并防止启动Microsoft JScript或Internet设置（INS）文件的使用。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INTERNET_OPEN_TYPE_PROXY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通过代理的请求，除非代理旁路列表中提供的名称解析绕过代理,在这种情况下，该功能的使用。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 lpszProxyName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指针指向一个空结束的字符串，该字符串指定的代理服务器的名称，参数省略则为NULL。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 lpszProxyBypass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指向一个空结束的字符串，该字符串指定的可选列表的主机名或IP地址。如果 dwAccessType未设置为INTERNET_OPEN_TYPE_PROXY的 ，参数省略则为NULL。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 dwFlags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参数可以是下列值之一：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INTERNET_FLAG_ASYNC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使异步请求处理的后裔从这个函数返回的句柄。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INTERNET_FLAG_FROM_CACHE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不进行网络请求，从缓存返回的所有实体，如果请求的项目是不是在缓存中，一个合适的错误，如ERROR_FILE_NOT_FOUND，则返回。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INTERNET_FLAG_OFFLINE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不进行网络请求，从缓存返回的所有实体，如果请求的项目是不是在缓存中，一个合适的错误，如ERROR_FILE_NOT_FOUND，被返回。</w:t>
      </w:r>
      <w:bookmarkStart w:id="0" w:name="13"/>
      <w:bookmarkEnd w:id="0"/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返回值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　　成功：返回一个有效的句柄，该句柄将由应用程序传递给接下来的WinINet函数。 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　　失败：返回NULL。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(4)</w:t>
      </w:r>
      <w:r>
        <w:rPr>
          <w:rFonts w:hint="default"/>
          <w:color w:val="FF0000"/>
          <w:sz w:val="24"/>
          <w:szCs w:val="24"/>
          <w:lang w:val="en-US" w:eastAsia="zh-CN"/>
        </w:rPr>
        <w:t>HINTERNET InternetOpenUrl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（ HINTERNET hInternet ，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LPCTSTR lpszUrl ，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LPCTSTR lpszHeaders ，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DWORD dwHeadersLength ，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DWORD dwFlags ，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DWORD_PTR dwContext）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通过一个完整的FTP，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"http://baike.baidu.com/item/Gopher/611108"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Gopher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或HTTP网址打开一个资源。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hInternet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当前的 Internet 会话句柄。句柄必须由前期的 InternetOpen 调用返回。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lpszUrl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一个空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"http://baike.baidu.com/item/%E5%AD%97%E7%AC%A6"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字符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结束的字符串变量的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"http://baike.baidu.com/item/%E6%8C%87%E9%92%88"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指针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，指定读取的网址。只有以ftp:, gopher:, http:, 或者 https: 开头的网址被支持。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lpszHeaders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一个空字符结束的字符串变量的指针，指定发送到HTTP服务器的头信息。欲了解更多信息，请参阅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"http://baike.baidu.com/item/HttpSendRequest/8253338"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HttpSendRequest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函数里lpszHeaders参数的说明。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dwHeadersLength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dwFlags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此参数可为下列值之一。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数值 说明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INTERNET_FLAG_EXISTING_CONNECT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如果使用相同的必须属性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"http://baike.baidu.com/item/%E5%88%9B%E5%BB%BA%E4%BC%9A%E8%AF%9D"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创建会话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，会尝试利用现有的InternetConnect对象。这只对FTP操作非常有用，因为FTP是唯一在同一会话中执行多种操作的协议。WinINet API 为每个由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"http://baike.baidu.com/item/InternetOpen/5138586"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InternetOpen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产生的HINTERNET句柄缓冲一个单独链接句柄。InternetOpenUrl使用此标志的HTTP和FTP连接。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INTERNET_FLAG_HYPERLINK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当决定何时从网络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"http://baike.baidu.com/item/%E9%87%8D%E8%BD%BD"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重载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时，如果服务器没有返回 Expires time 和 LastModified，那么强制重载。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INTERNET_FLAG_IGNORE_CERT_CN_INVALID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停用检查从服务器对必须的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"http://baike.baidu.com/item/%E4%B8%BB%E6%9C%BA"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主机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名称返回的SSL/PCT-based证书。 WinINet函数使用简单的比较匹配主机名称和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"http://baike.baidu.com/item/%E9%80%9A%E9%85%8D%E7%AC%A6"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通配符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的规则检查证书。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INTERNET_FLAG_IGNORE_CERT_DATE_INVALID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停用检查的SSL/PCT-based的证书的适当的有效日期。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INTERNET_FLAG_IGNORE_REDIRECT_TO_HTTP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禁用检测这中特殊的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"http://baike.baidu.com/item/%E9%87%8D%E5%AE%9A%E5%90%91/9064196"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重定向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。当使用此标志， WinINet 透明允许从HTTPS到HTTP URL的重定向。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INTERNET_FLAG_IGNORE_REDIRECT_TO_HTTPS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禁用检测这中特殊的重定向。当使用此标志， WinINet 透明的允许的HTTP到HTTPS URL的重定向。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INTERNET_FLAG_KEEP_CONNECTION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如果可能的话，为连接使用保活语义。这个标志要求微软网络（ MSN ），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"http://baike.baidu.com/item/NTLM/6371298"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NTLM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和其他类型的身份验证。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INTERNET_FLAG_NEED_FILE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如果要创建的文件不能被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"http://baike.baidu.com/item/%E7%BC%93%E5%AD%98"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缓存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，创建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"http://baike.baidu.com/item/%E4%B8%B4%E6%97%B6%E6%96%87%E4%BB%B6/3359209"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临时文件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INTERNET_FLAG_NO_AUTH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不试图自动验证。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INTERNET_FLAG_NO_AUTO_REDIRECT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不自动处理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"http://baike.baidu.com/item/HttpSendRequest/8253338"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HttpSendRequest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中的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"http://baike.baidu.com/item/%E9%87%8D%E5%AE%9A%E5%90%91/9064196"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重定向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INTERNET_FLAG_NO_CACHE_WRITE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不添加返回实体到缓存。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INTERNET_FLAG_NO_COOKIES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不会自动添加的Cookie头到请求，并且不自动添加返回的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"http://baike.baidu.com/item/cookie/1119"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cookie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到cookie数据库。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INTERNET_FLAG_NO_UI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禁用Cookie的对话框。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INTERNET_FLAG_PASSIVE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使用被动FTP语义。InternetOpenUrl为FTP的文件和目录使用此标志。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INTERNET_FLAG_PRAGMA_NOCACHE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即使代理中存在缓存副本，也强制要求由源服务器返回。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INTERNET_FLAG_RAW_DATA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检索的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"http://baike.baidu.com/item/Gopher/611108"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Gopher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目录信息时，传回的数据作为GOPHER_FIND_DATA结构，如果检索的FTP目录信息时，作为一个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"http://baike.baidu.com/item/WIN32_FIND_DATA"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WIN32_FIND_DATA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结构。如果此标志没有指定，或者请求通过CERN代理创建， InternetOpenUrl返回的HTML版本的目录。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INTERNET_FLAG_RELOAD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从原服务器强制下载所要求的文件，对象，或目录列表，而不是从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"http://baike.baidu.com/item/%E7%BC%93%E5%AD%98"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缓存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下载。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INTERNET_FLAG_RESYNCHRONIZE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重新加载的HTTP资源，如果资源在最后一次下载后已被修改。所有FTP和Gopher资源将被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"http://baike.baidu.com/item/%E9%87%8D%E8%BD%BD"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重载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INTERNET_FLAG_SECURE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使用安全传输语义。这次传输使用安全套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"http://baike.baidu.com/item/%E5%AD%97%E8%8A%82"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字节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层/专用通信技术（的SSL / PCT ），这只有在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"http://baike.baidu.com/item/HTTP%E8%AF%B7%E6%B1%82/10882159"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HTTP请求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时有意义。</w:t>
      </w:r>
    </w:p>
    <w:p>
      <w:pPr>
        <w:rPr>
          <w:rFonts w:hint="default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dwContext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一个指向一个应用程序定义的值，将随着返回的句柄，一起传递给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begin"/>
      </w:r>
      <w:r>
        <w:rPr>
          <w:rFonts w:hint="default"/>
          <w:color w:val="FF0000"/>
          <w:sz w:val="24"/>
          <w:szCs w:val="24"/>
          <w:lang w:val="en-US" w:eastAsia="zh-CN"/>
        </w:rPr>
        <w:instrText xml:space="preserve"> HYPERLINK "http://baike.baidu.com/item/%E5%9B%9E%E8%B0%83%E5%87%BD%E6%95%B0" \t "http://baike.baidu.com/_blank" </w:instrTex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separate"/>
      </w:r>
      <w:r>
        <w:rPr>
          <w:rFonts w:hint="default"/>
          <w:color w:val="FF0000"/>
          <w:sz w:val="24"/>
          <w:szCs w:val="24"/>
        </w:rPr>
        <w:t>回调函数</w:t>
      </w:r>
      <w:r>
        <w:rPr>
          <w:rFonts w:hint="default"/>
          <w:color w:val="FF0000"/>
          <w:sz w:val="24"/>
          <w:szCs w:val="24"/>
          <w:lang w:val="en-US" w:eastAsia="zh-CN"/>
        </w:rPr>
        <w:fldChar w:fldCharType="end"/>
      </w:r>
      <w:r>
        <w:rPr>
          <w:rFonts w:hint="default"/>
          <w:color w:val="FF0000"/>
          <w:sz w:val="24"/>
          <w:szCs w:val="24"/>
          <w:lang w:val="en-US" w:eastAsia="zh-CN"/>
        </w:rPr>
        <w:t>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b</w:t>
      </w:r>
      <w:r>
        <w:rPr>
          <w:rFonts w:hint="eastAsia"/>
          <w:sz w:val="24"/>
          <w:szCs w:val="24"/>
        </w:rPr>
        <w:t>、蠕虫行为：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通过创建服务启动，每次开机都会自启动。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18542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从木马自身读取MS17_010漏洞利用代码，playload分为x86和x64两个版本。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1835150"/>
            <wp:effectExtent l="0" t="0" r="190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创建两个线程，分别扫描内网和外网的IP，开始进程蠕虫传播感染。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4057650"/>
            <wp:effectExtent l="0" t="0" r="889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对公网随机ip地址445端口进行扫描感染。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2019300"/>
            <wp:effectExtent l="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对于局域网，则直接扫描当前计算机所在的网段进行感染。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1507490"/>
            <wp:effectExtent l="0" t="0" r="1079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感染过程，尝试连接445端口。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99050" cy="3352800"/>
            <wp:effectExtent l="0" t="0" r="635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如果连接成功，则对该地址尝试进行漏洞攻击感染。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2065020"/>
            <wp:effectExtent l="0" t="0" r="8890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释放敲诈者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3515360"/>
            <wp:effectExtent l="0" t="0" r="1206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(2)</w:t>
      </w:r>
      <w:r>
        <w:rPr>
          <w:rFonts w:hint="eastAsia"/>
          <w:sz w:val="24"/>
          <w:szCs w:val="24"/>
        </w:rPr>
        <w:t>tasksche.exe行为：（敲诈者）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解压释放大量敲诈者模块及配置文件，解压密码为WNcry@2ol7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717165"/>
            <wp:effectExtent l="0" t="0" r="10160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首先关闭指定进程，避免某些重要文件因被占用而无法感染。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3101340"/>
            <wp:effectExtent l="0" t="0" r="12065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遍历磁盘文件，避开含有以下字符的目录。同时，也避免感染木马释放出来的说明文档。</w:t>
      </w:r>
      <w:r>
        <w:rPr>
          <w:sz w:val="24"/>
          <w:szCs w:val="24"/>
        </w:rPr>
        <w:drawing>
          <wp:inline distT="0" distB="0" distL="114300" distR="114300">
            <wp:extent cx="5271135" cy="1337310"/>
            <wp:effectExtent l="0" t="0" r="12065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木马加密流程图：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960" cy="3662680"/>
            <wp:effectExtent l="0" t="0" r="254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程序中内置两个RSA 2048公钥，用于加密，其中一个含有配对的私钥，用于演示能够解密的文件，另一个则是真正的加密用的密钥，程序中没有相配对的私钥。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3808730"/>
            <wp:effectExtent l="0" t="0" r="1270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木马随机生成一个256字节的密钥，并拷贝一份用RSA2048加密，RSA公钥内置于程序中。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770" cy="2896870"/>
            <wp:effectExtent l="0" t="0" r="11430" b="1143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构造文件头，文件头中包含有标志、密钥大小、RSA加密过的密钥、文件大小等信息。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052320"/>
            <wp:effectExtent l="0" t="0" r="10160" b="50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使用CBC模式AES加密文件内容，并将文件内容写入到构造好的文件头后，保存成扩展名为.WNCRY的文件，并用随机数填充原始文件后再删除，防止数据恢复。</w:t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5273040" cy="4852035"/>
            <wp:effectExtent l="0" t="0" r="10160" b="12065"/>
            <wp:docPr id="18" name="图片 18" descr="14946891235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49468912358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完成所有文件加密后释放说明文档，弹出勒索界面，需支付价值数百美元不等的比特比到指定的比特比钱包地址，三个比特币钱包地址硬编码于程序中。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115p7UMMngoj1pMvkpHijcRdfJNXj6LrLn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12t9YDPgwueZ9NyMgw519p7AA8isjr6SMw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13AM4VW2dhxYgXeQepoHkHSQuy6NgaEb94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(3)</w:t>
      </w:r>
      <w:r>
        <w:rPr>
          <w:rFonts w:hint="eastAsia"/>
          <w:sz w:val="24"/>
          <w:szCs w:val="24"/>
        </w:rPr>
        <w:t>解密程序：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木马解密程序中内置了其中一个公钥的配对私钥，可以用于解密使用该公钥加密的几个文件，用于向用户“证明”程序能够解密文件，诱导用户支付比特币。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2871470"/>
            <wp:effectExtent l="0" t="0" r="12065" b="1143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00650" cy="1974850"/>
            <wp:effectExtent l="0" t="0" r="6350" b="635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此后，程序判断本地是否存在“00000000.dky”文件，该文件为真实解密所需私钥文件。若存在，则通过解密测试文件来检测密钥文件是否正确。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616835"/>
            <wp:effectExtent l="0" t="0" r="635" b="1206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若正确，则解密，若错误或不存在，木马将程判断解压后的Tor目录下是否存在taskhsvc.exe，若不存在，则生成该文件，并且调用CreateProcessA拉起该进程：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894965"/>
            <wp:effectExtent l="0" t="0" r="10160" b="6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该程序主要为tor匿名代理工具，该工具启动后会监听本地9050端口，木马通过本地代理通信实现与服务器连接。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在点击“Check Payment”按钮后，由服务端判断是否下发解密所需私钥。若私钥下发，则会在本地生成解密所需要的dky文件。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084705"/>
            <wp:effectExtent l="0" t="0" r="1905" b="1079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312879"/>
    <w:rsid w:val="032D21AA"/>
    <w:rsid w:val="08C87181"/>
    <w:rsid w:val="0F0F0AFD"/>
    <w:rsid w:val="11CE70B5"/>
    <w:rsid w:val="181B6BF4"/>
    <w:rsid w:val="184534D4"/>
    <w:rsid w:val="18B5453E"/>
    <w:rsid w:val="21BA5B8F"/>
    <w:rsid w:val="29402687"/>
    <w:rsid w:val="2E7B2B20"/>
    <w:rsid w:val="31000CE7"/>
    <w:rsid w:val="3180588B"/>
    <w:rsid w:val="3B724234"/>
    <w:rsid w:val="4B4D7265"/>
    <w:rsid w:val="4FCE1BAF"/>
    <w:rsid w:val="511E4F9F"/>
    <w:rsid w:val="5AF15261"/>
    <w:rsid w:val="5E156241"/>
    <w:rsid w:val="60312879"/>
    <w:rsid w:val="60B466D6"/>
    <w:rsid w:val="61F56998"/>
    <w:rsid w:val="6DEF5700"/>
    <w:rsid w:val="6ED64AB5"/>
    <w:rsid w:val="704B72C1"/>
    <w:rsid w:val="7A753CCD"/>
    <w:rsid w:val="7B074862"/>
    <w:rsid w:val="7C056EFB"/>
    <w:rsid w:val="7D293B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2017-05-21T13:50:00Z</dcterms:created>
  <dc:creator>wu</dc:creator>
  <cp:lastModifiedBy>wu</cp:lastModifiedBy>
  <dcterms:modified xsi:type="dcterms:W3CDTF">2017-05-22T06:13:49Z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