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802.11</w:t>
      </w:r>
    </w:p>
    <w:p>
      <w:pPr>
        <w:ind w:left="42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---------Wi-Fi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1.简介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4345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SSID（Service Set Identifier）也可以写为ESSID，用来区分不同的网络，最多可以有32个字符，</w:t>
      </w:r>
      <w:r>
        <w:rPr>
          <w:rFonts w:hint="eastAsia"/>
          <w:sz w:val="24"/>
          <w:szCs w:val="24"/>
        </w:rPr>
        <w:t>SSID通常由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"http://baike.baidu.com/view/46313.htm" \t "http://blog.sina.com.cn/s/_blank"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广播出来，通过XP自带的扫描功能可以查看当前区域内的SSID。出于安全考虑可以不广播SSID，此时用户就要手工设置SSID才能进入相应的网络。简单说，SSID就是一个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"http://baike.baidu.com/view/788.htm" \t "http://blog.sina.com.cn/s/_blank"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局域网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的名称，只有设置为名称相同SSID的值的电脑才能互相通信。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BSSID 是指</w:t>
      </w:r>
      <w:r>
        <w:rPr>
          <w:rFonts w:hint="eastAsia"/>
          <w:sz w:val="24"/>
          <w:szCs w:val="24"/>
          <w:lang w:val="en-US" w:eastAsia="zh-CN"/>
        </w:rPr>
        <w:t>AP</w:t>
      </w:r>
      <w:bookmarkStart w:id="2" w:name="_GoBack"/>
      <w:bookmarkEnd w:id="2"/>
      <w:r>
        <w:rPr>
          <w:rFonts w:hint="eastAsia"/>
          <w:sz w:val="24"/>
          <w:szCs w:val="24"/>
        </w:rPr>
        <w:t>的 MAC 地址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2.802.11帧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8905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(1)</w:t>
      </w:r>
      <w:r>
        <w:rPr>
          <w:rFonts w:hint="default"/>
          <w:color w:val="FF0000"/>
          <w:sz w:val="24"/>
          <w:szCs w:val="24"/>
        </w:rPr>
        <w:t> Frame Control（帧控制域）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• Protocol Version（协议版本）：通常为0；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Type（类型域）和Subtype（子类型域）：共同指出帧的类型；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To DS：表明该帧是BSS向DS发送的帧；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From DS：表明该帧是DS向BSS发送的帧；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More Frag：用于说明长帧被分段的情况，是否还有其它的帧；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Retry（重传域）：用于帧的重传，接收STA利用该域消除重传帧；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Pwr Mgt（能量管理域）：1：STA处于power_save模式；0：处于active模式；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More Data（更多数据域）：1：至少还有一个数据帧要发送给STA 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Protected Frame： 1：帧体部分包含被密钥套处理过的数据；否则：0；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Order（序号域）：1：长帧分段传送采用严格编号方式；否则：0。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> Duration/ID（持续时间/标识）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表明该帧和它的确认帧将会占用信道多长时间；对于帧控制域子类型为：Power Save-Poll的帧，该域表示了STA的连接身份（AID, Association Indentification）。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> Address（地址域）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     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</w:rPr>
        <w:t>  Address（地址域）：源地址（SA）、目的地址（DA）、传输工作站地址（TA）、接收工作站地址（RA），SA与DA必不可少，后两个只对跨BSS的通信有用，而目的地址可以为单播地址（Unicast address）、多播地址（Multicast address）、广播地址（Broadcast address）。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> Sequence Control（序列控制域）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 Sequence Control（序列控制域）：由代表MSDU（MAC Server Data Unit）或者MMSDU（MAC Management Server Data Unit）的12位序列号（Sequence Number）和表示MSDU和MMSDU的每一个片段的编号的4位片段号组成（Fragment Number）。</w:t>
      </w:r>
    </w:p>
    <w:p>
      <w:pPr>
        <w:rPr>
          <w:rFonts w:hint="default"/>
          <w:sz w:val="24"/>
          <w:szCs w:val="24"/>
        </w:rPr>
      </w:pPr>
      <w:bookmarkStart w:id="0" w:name="t11"/>
      <w:bookmarkEnd w:id="0"/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(5)</w:t>
      </w:r>
      <w:r>
        <w:rPr>
          <w:rFonts w:hint="default"/>
          <w:color w:val="FF0000"/>
          <w:sz w:val="24"/>
          <w:szCs w:val="24"/>
        </w:rPr>
        <w:t xml:space="preserve"> Frame Body（帧体部分）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包含信息根据帧的类型有所不同，主要封装的是上层的数据单元，长度为0~2312个字节，可以推出，802.11帧最大长度为：2346个字节；</w:t>
      </w:r>
    </w:p>
    <w:p>
      <w:pPr>
        <w:rPr>
          <w:rFonts w:hint="default"/>
          <w:sz w:val="24"/>
          <w:szCs w:val="24"/>
        </w:rPr>
      </w:pPr>
      <w:bookmarkStart w:id="1" w:name="t12"/>
      <w:bookmarkEnd w:id="1"/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(6)</w:t>
      </w:r>
      <w:r>
        <w:rPr>
          <w:rFonts w:hint="default"/>
          <w:color w:val="FF0000"/>
          <w:sz w:val="24"/>
          <w:szCs w:val="24"/>
        </w:rPr>
        <w:t xml:space="preserve"> FCS（校验域）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包含32位循环冗余码</w:t>
      </w:r>
    </w:p>
    <w:p>
      <w:pPr>
        <w:rPr>
          <w:rFonts w:hint="default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default"/>
          <w:b/>
          <w:bCs/>
          <w:sz w:val="24"/>
          <w:szCs w:val="24"/>
        </w:rPr>
        <w:t>. 802.11帧类型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针对帧的不同功能，可将802.11中的MAC帧细分为以下3类：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• 数据帧：用于在竞争期和非竞争期传输数据；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• 控制帧：用于竞争期间的握手通信和正向确认(RTS信道预约、CTS预约成功、ACK等)、结束非竞争期等，为数据帧的发送提供辅助功能；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• 管理帧：主要用于STA与AP之间协商、关系的控制，如关联、认证、同步等。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Frame Control（帧控制域）中的Type（类型域）和Subtype（子类型域）共同指出帧的类型，当Type的B3B2位为00时，该帧为管理帧；为01时，该帧为控制帧；为10时，该帧为数据帧。而Subtype进一步判断帧类型，如管理帧里头细分为关联和认证帧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 xml:space="preserve"> 管理帧 (Management Frame)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610610"/>
            <wp:effectExtent l="0" t="0" r="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 xml:space="preserve"> 控制帧 (Control Frame)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1831975"/>
            <wp:effectExtent l="0" t="0" r="1206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 xml:space="preserve"> 数据帧 (Data Frame)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41850" cy="49974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4.无线网卡模式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default"/>
        </w:rPr>
      </w:pPr>
      <w:r>
        <w:rPr>
          <w:rFonts w:hint="eastAsia"/>
          <w:sz w:val="24"/>
          <w:szCs w:val="24"/>
        </w:rPr>
        <w:t>Ad-Hoc（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"http://baike.baidu.com/item/%E7%82%B9%E5%AF%B9%E7%82%B9"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点对点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）模式：ad-hoc模式就和以前的直连双绞线概念一样，是P2P的连接，所以也就无法与其它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"http://baike.baidu.com/item/%E7%BD%91%E7%BB%9C%E6%B2%9F%E9%80%9A"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网络沟通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了。一般无线终端设备像PMP、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"http://baike.baidu.com/item/PSP"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PSP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、DMA等用的就是ad-hoc模式。 在家庭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"http://baike.baidu.com/item/%E6%97%A0%E7%BA%BF%E5%B1%80%E5%9F%9F%E7%BD%91"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无线局域网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的组建，我想大家都知道最简单的莫过于两台安装有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"http://baike.baidu.com/item/%E6%97%A0%E7%BA%BF%E7%BD%91%E5%8D%A1"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无线网卡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的计算机实施无线互联，其中一台计算机连接Internet就可以共享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"http://baike.baidu.com/item/%E5%B8%A6%E5%AE%BD"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带宽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</w:t>
      </w:r>
    </w:p>
    <w:p>
      <w:pPr>
        <w:ind w:firstLine="420" w:firstLineChars="0"/>
      </w:pPr>
      <w:r>
        <w:drawing>
          <wp:inline distT="0" distB="0" distL="114300" distR="114300">
            <wp:extent cx="2622550" cy="16954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Master模式，它主要使用于无线接入点AP提供无线接入服务以及路由功能。可以想象我们使用的无线路由器就是工作在Master模式下了，不过对于普通的pc机来说，如果有合适的硬件它也可以变成一台无线AP。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Managed模式用于和无线AP进行接入连接，在这个模式下我们才可以进行无线接入internet上网。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Monitor模式主要用于监控无线网络内部的流量，用于检查网络和排错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53302"/>
    <w:rsid w:val="00DA7438"/>
    <w:rsid w:val="12410989"/>
    <w:rsid w:val="33497DE0"/>
    <w:rsid w:val="39A93B3A"/>
    <w:rsid w:val="44AF5E17"/>
    <w:rsid w:val="48653302"/>
    <w:rsid w:val="49487793"/>
    <w:rsid w:val="4A757AF5"/>
    <w:rsid w:val="50A70CB8"/>
    <w:rsid w:val="579258EE"/>
    <w:rsid w:val="766A25B3"/>
    <w:rsid w:val="774557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2017-02-26T12:02:00Z</dcterms:created>
  <dc:creator>wu</dc:creator>
  <cp:lastModifiedBy>wu</cp:lastModifiedBy>
  <dcterms:modified xsi:type="dcterms:W3CDTF">2017-03-31T02:24:50Z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