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w:hAnsi="Arial"/>
          <w:b/>
          <w:i w:val="0"/>
          <w:color w:val="385894"/>
          <w:sz w:val="18"/>
        </w:rPr>
        <w:t>TRAINING &amp; COACHING</w:t>
      </w:r>
    </w:p>
    <w:p>
      <w:pPr>
        <w:pStyle w:val="Title"/>
        <w:spacing w:after="40"/>
        <w:jc w:val="left"/>
      </w:pPr>
      <w:r>
        <w:rPr>
          <w:rFonts w:ascii="Arial" w:hAnsi="Arial"/>
          <w:b/>
          <w:i w:val="0"/>
          <w:color w:val="1F3C88"/>
          <w:sz w:val="48"/>
        </w:rPr>
        <w:t>FAQ KlikKlaar SEO en WEB</w:t>
      </w:r>
    </w:p>
    <w:p>
      <w:pPr>
        <w:pStyle w:val="Subtitle"/>
        <w:spacing w:after="160"/>
      </w:pPr>
      <w:r>
        <w:rPr>
          <w:rFonts w:ascii="Arial" w:hAnsi="Arial"/>
          <w:b w:val="0"/>
          <w:i w:val="0"/>
          <w:color w:val="606060"/>
          <w:sz w:val="22"/>
        </w:rPr>
        <w:t>Veelgestelde vragen voor nieuwe Sales Executives</w:t>
      </w:r>
    </w:p>
    <w:tbl>
      <w:tblPr>
        <w:tblW w:type="auto" w:w="0"/>
        <w:jc w:val="left"/>
        <w:tblLayout w:type="fixed"/>
        <w:tblLook w:firstColumn="1" w:firstRow="1" w:lastColumn="0" w:lastRow="0" w:noHBand="0" w:noVBand="1" w:val="04A0"/>
      </w:tblPr>
      <w:tblGrid>
        <w:gridCol w:w="10200"/>
      </w:tblGrid>
      <w:tr>
        <w:tc>
          <w:tcPr>
            <w:tcW w:type="dxa" w:w="9524"/>
            <w:shd w:fill="EAF2F8"/>
            <w:tcBorders>
              <w:top w:val="single" w:sz="6" w:space="0" w:color="D6DCE5"/>
              <w:left w:val="single" w:sz="6" w:space="0" w:color="D6DCE5"/>
              <w:bottom w:val="single" w:sz="6" w:space="0" w:color="D6DCE5"/>
              <w:right w:val="single" w:sz="6" w:space="0" w:color="D6DCE5"/>
            </w:tcBorders>
            <w:tcMar>
              <w:top w:w="110" w:type="dxa"/>
              <w:start w:w="120" w:type="dxa"/>
              <w:bottom w:w="110" w:type="dxa"/>
              <w:end w:w="120" w:type="dxa"/>
            </w:tcMar>
            <w:vAlign w:val="center"/>
          </w:tcPr>
          <w:p>
            <w:r>
              <w:rPr>
                <w:rFonts w:ascii="Arial" w:hAnsi="Arial"/>
                <w:b/>
                <w:i w:val="0"/>
                <w:color w:val="1F3C88"/>
                <w:sz w:val="21"/>
              </w:rPr>
              <w:t>Opzet</w:t>
              <w:br/>
            </w:r>
            <w:r>
              <w:rPr>
                <w:rFonts w:ascii="Arial" w:hAnsi="Arial"/>
                <w:b w:val="0"/>
                <w:i w:val="0"/>
                <w:color w:val="262626"/>
                <w:sz w:val="20"/>
              </w:rPr>
              <w:t>De antwoorden hieronder zijn zo geformuleerd dat ze verkoopveilig blijven. Waar de publieke bronbasis beperkt is, staat expliciet vermeld dat interne bevestiging nodig is.</w:t>
            </w:r>
          </w:p>
        </w:tc>
      </w:tr>
    </w:tbl>
    <w:p/>
    <w:p>
      <w:pPr>
        <w:pStyle w:val="Heading1"/>
      </w:pPr>
      <w:r>
        <w:t>1. Algemene vragen</w:t>
      </w:r>
    </w:p>
    <w:tbl>
      <w:tblPr>
        <w:tblW w:type="auto" w:w="0"/>
        <w:jc w:val="left"/>
        <w:tblLayout w:type="fixed"/>
        <w:tblLook w:firstColumn="1" w:firstRow="1" w:lastColumn="0" w:lastRow="0" w:noHBand="0" w:noVBand="1" w:val="04A0"/>
      </w:tblPr>
      <w:tblGrid>
        <w:gridCol w:w="2494"/>
        <w:gridCol w:w="6803"/>
      </w:tblGrid>
      <w:tr>
        <w:tc>
          <w:tcPr>
            <w:tcW w:type="dxa" w:w="2494"/>
            <w:shd w:fill="DDE7F4"/>
            <w:tcBorders>
              <w:top w:val="single" w:sz="6" w:space="0" w:color="C8D3E0"/>
              <w:left w:val="single" w:sz="6" w:space="0" w:color="C8D3E0"/>
              <w:bottom w:val="single" w:sz="6" w:space="0" w:color="C8D3E0"/>
              <w:right w:val="single" w:sz="6" w:space="0" w:color="C8D3E0"/>
            </w:tcBorders>
            <w:tcMar>
              <w:top w:w="80" w:type="dxa"/>
              <w:start w:w="100" w:type="dxa"/>
              <w:bottom w:w="80" w:type="dxa"/>
              <w:end w:w="100" w:type="dxa"/>
            </w:tcMar>
          </w:tcPr>
          <w:p>
            <w:r>
              <w:rPr>
                <w:rFonts w:ascii="Arial" w:hAnsi="Arial"/>
                <w:b/>
                <w:i w:val="0"/>
                <w:color w:val="1F3C88"/>
                <w:sz w:val="20"/>
              </w:rPr>
              <w:t>Onderdeel</w:t>
            </w:r>
          </w:p>
        </w:tc>
        <w:tc>
          <w:tcPr>
            <w:tcW w:type="dxa" w:w="6803"/>
            <w:shd w:fill="DDE7F4"/>
            <w:tcBorders>
              <w:top w:val="single" w:sz="6" w:space="0" w:color="C8D3E0"/>
              <w:left w:val="single" w:sz="6" w:space="0" w:color="C8D3E0"/>
              <w:bottom w:val="single" w:sz="6" w:space="0" w:color="C8D3E0"/>
              <w:right w:val="single" w:sz="6" w:space="0" w:color="C8D3E0"/>
            </w:tcBorders>
            <w:tcMar>
              <w:top w:w="80" w:type="dxa"/>
              <w:start w:w="100" w:type="dxa"/>
              <w:bottom w:w="80" w:type="dxa"/>
              <w:end w:w="100" w:type="dxa"/>
            </w:tcMar>
          </w:tcPr>
          <w:p>
            <w:r>
              <w:rPr>
                <w:rFonts w:ascii="Arial" w:hAnsi="Arial"/>
                <w:b/>
                <w:i w:val="0"/>
                <w:color w:val="1F3C88"/>
                <w:sz w:val="20"/>
              </w:rPr>
              <w:t>Inhoud</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Wat is het verschil tussen KlikKlaarSEO en KlikKlaarWEB?</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KlikKlaarWEB richt zich op het bouwen en beheren van professionele websites. KlikKlaarSEO draait om beter vindbaar worden in Google en AI. In veel gevallen versterken de twee labels elkaar.</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Voor welk type klant zijn deze labels bedoeld?</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Publiek wordt bij WEB expliciet gesproken over startende ondernemers, zzp’ers, coaches, verenigingen en kleine bedrijven. Voor SEO ligt de logische fit ook bij bedrijven die zonder veel gedoe zichtbaarder willen worden.</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Kunnen we beide producten combineren?</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Ja. Een sterke website zonder zichtbaarheid mist verkeer, en zichtbaarheid zonder goede website mist conversie. Daarom is een combinatie vaak logisch.</w:t>
            </w:r>
          </w:p>
        </w:tc>
      </w:tr>
    </w:tbl>
    <w:p/>
    <w:p>
      <w:pPr>
        <w:pStyle w:val="Heading1"/>
      </w:pPr>
      <w:r>
        <w:t>2. KlikKlaarWEB</w:t>
      </w:r>
    </w:p>
    <w:tbl>
      <w:tblPr>
        <w:tblW w:type="auto" w:w="0"/>
        <w:jc w:val="left"/>
        <w:tblLayout w:type="fixed"/>
        <w:tblLook w:firstColumn="1" w:firstRow="1" w:lastColumn="0" w:lastRow="0" w:noHBand="0" w:noVBand="1" w:val="04A0"/>
      </w:tblPr>
      <w:tblGrid>
        <w:gridCol w:w="2494"/>
        <w:gridCol w:w="6803"/>
      </w:tblGrid>
      <w:tr>
        <w:tc>
          <w:tcPr>
            <w:tcW w:type="dxa" w:w="2494"/>
            <w:shd w:fill="DDE7F4"/>
            <w:tcBorders>
              <w:top w:val="single" w:sz="6" w:space="0" w:color="C8D3E0"/>
              <w:left w:val="single" w:sz="6" w:space="0" w:color="C8D3E0"/>
              <w:bottom w:val="single" w:sz="6" w:space="0" w:color="C8D3E0"/>
              <w:right w:val="single" w:sz="6" w:space="0" w:color="C8D3E0"/>
            </w:tcBorders>
            <w:tcMar>
              <w:top w:w="80" w:type="dxa"/>
              <w:start w:w="100" w:type="dxa"/>
              <w:bottom w:w="80" w:type="dxa"/>
              <w:end w:w="100" w:type="dxa"/>
            </w:tcMar>
          </w:tcPr>
          <w:p>
            <w:r>
              <w:rPr>
                <w:rFonts w:ascii="Arial" w:hAnsi="Arial"/>
                <w:b/>
                <w:i w:val="0"/>
                <w:color w:val="1F3C88"/>
                <w:sz w:val="20"/>
              </w:rPr>
              <w:t>Onderdeel</w:t>
            </w:r>
          </w:p>
        </w:tc>
        <w:tc>
          <w:tcPr>
            <w:tcW w:type="dxa" w:w="6803"/>
            <w:shd w:fill="DDE7F4"/>
            <w:tcBorders>
              <w:top w:val="single" w:sz="6" w:space="0" w:color="C8D3E0"/>
              <w:left w:val="single" w:sz="6" w:space="0" w:color="C8D3E0"/>
              <w:bottom w:val="single" w:sz="6" w:space="0" w:color="C8D3E0"/>
              <w:right w:val="single" w:sz="6" w:space="0" w:color="C8D3E0"/>
            </w:tcBorders>
            <w:tcMar>
              <w:top w:w="80" w:type="dxa"/>
              <w:start w:w="100" w:type="dxa"/>
              <w:bottom w:w="80" w:type="dxa"/>
              <w:end w:w="100" w:type="dxa"/>
            </w:tcMar>
          </w:tcPr>
          <w:p>
            <w:r>
              <w:rPr>
                <w:rFonts w:ascii="Arial" w:hAnsi="Arial"/>
                <w:b/>
                <w:i w:val="0"/>
                <w:color w:val="1F3C88"/>
                <w:sz w:val="20"/>
              </w:rPr>
              <w:t>Inhoud</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Hoe snel kan een website live zijn?</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De publieke site noemt 1-2 weken voor het Basispakket en 5-7 dagen voor het Pluspakket.</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Wat zit er in het maandbedrag?</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Volgens de publieke FAQ: hosting, updates, domeinbeheer, e-mailaccounts, klantportaal, SEO-onderhoud, back-ups en technische support.</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Kan een bestaande website ook worden vernieuwd?</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Ja. De site noemt expliciet vernieuwing, onderhoud en migratie als mogelijkheden.</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Krijgt de klant een dashboard?</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Ja. Het klantportaal wordt genoemd voor realtime voortgang, communicatie, offertes en bestandsuitwisseling.</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Zijn de standaardpakketten geschikt voor webshops?</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De publieke FAQ zegt dat standaardpakketten vooral voor informatieve websites zijn. Voor webshopwensen eerst apart kwalificeren.</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Wat gebeurt er bij stoppen met abonnement?</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Volgens de publieke FAQ blijft de site online zolang het abonnement actief is; bij stoppen is overdracht mogelijk. Neem dit altijd nog even mee in de finale offerte.</w:t>
            </w:r>
          </w:p>
        </w:tc>
      </w:tr>
    </w:tbl>
    <w:p/>
    <w:p>
      <w:pPr>
        <w:pStyle w:val="Heading1"/>
      </w:pPr>
      <w:r>
        <w:t>3. KlikKlaarSEO</w:t>
      </w:r>
    </w:p>
    <w:tbl>
      <w:tblPr>
        <w:tblW w:type="auto" w:w="0"/>
        <w:jc w:val="left"/>
        <w:tblLayout w:type="fixed"/>
        <w:tblLook w:firstColumn="1" w:firstRow="1" w:lastColumn="0" w:lastRow="0" w:noHBand="0" w:noVBand="1" w:val="04A0"/>
      </w:tblPr>
      <w:tblGrid>
        <w:gridCol w:w="2494"/>
        <w:gridCol w:w="6803"/>
      </w:tblGrid>
      <w:tr>
        <w:tc>
          <w:tcPr>
            <w:tcW w:type="dxa" w:w="2494"/>
            <w:shd w:fill="DDE7F4"/>
            <w:tcBorders>
              <w:top w:val="single" w:sz="6" w:space="0" w:color="C8D3E0"/>
              <w:left w:val="single" w:sz="6" w:space="0" w:color="C8D3E0"/>
              <w:bottom w:val="single" w:sz="6" w:space="0" w:color="C8D3E0"/>
              <w:right w:val="single" w:sz="6" w:space="0" w:color="C8D3E0"/>
            </w:tcBorders>
            <w:tcMar>
              <w:top w:w="80" w:type="dxa"/>
              <w:start w:w="100" w:type="dxa"/>
              <w:bottom w:w="80" w:type="dxa"/>
              <w:end w:w="100" w:type="dxa"/>
            </w:tcMar>
          </w:tcPr>
          <w:p>
            <w:r>
              <w:rPr>
                <w:rFonts w:ascii="Arial" w:hAnsi="Arial"/>
                <w:b/>
                <w:i w:val="0"/>
                <w:color w:val="1F3C88"/>
                <w:sz w:val="20"/>
              </w:rPr>
              <w:t>Onderdeel</w:t>
            </w:r>
          </w:p>
        </w:tc>
        <w:tc>
          <w:tcPr>
            <w:tcW w:type="dxa" w:w="6803"/>
            <w:shd w:fill="DDE7F4"/>
            <w:tcBorders>
              <w:top w:val="single" w:sz="6" w:space="0" w:color="C8D3E0"/>
              <w:left w:val="single" w:sz="6" w:space="0" w:color="C8D3E0"/>
              <w:bottom w:val="single" w:sz="6" w:space="0" w:color="C8D3E0"/>
              <w:right w:val="single" w:sz="6" w:space="0" w:color="C8D3E0"/>
            </w:tcBorders>
            <w:tcMar>
              <w:top w:w="80" w:type="dxa"/>
              <w:start w:w="100" w:type="dxa"/>
              <w:bottom w:w="80" w:type="dxa"/>
              <w:end w:w="100" w:type="dxa"/>
            </w:tcMar>
          </w:tcPr>
          <w:p>
            <w:r>
              <w:rPr>
                <w:rFonts w:ascii="Arial" w:hAnsi="Arial"/>
                <w:b/>
                <w:i w:val="0"/>
                <w:color w:val="1F3C88"/>
                <w:sz w:val="20"/>
              </w:rPr>
              <w:t>Inhoud</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Wat mogen we wel zeggen?</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Dat de publieke propositie draait om beter vindbaar worden in Google en AI, met nadruk op eenvoud en zonder onnodige complexiteit.</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Wat mogen we niet zeggen?</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Geen rankinggaranties, geen exact resultaat in leads, geen vaste contractduur of prijs zonder interne bevestiging.</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Hoe positioneer ik dit zonder technisch te worden?</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Niet praten over “SEO-taken”, maar over online zichtbaarheid, gevonden worden en minder gedoe voor de ondernemer.</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Kan ik direct een prijs noemen?</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Alleen als de interne prijsstructuur is bevestigd. In dit pakket is dat bewust als validatiepunt opgenomen.</w:t>
            </w:r>
          </w:p>
        </w:tc>
      </w:tr>
    </w:tbl>
    <w:p/>
    <w:p>
      <w:pPr>
        <w:pStyle w:val="Heading1"/>
      </w:pPr>
      <w:r>
        <w:t>4. Proces en offerte</w:t>
      </w:r>
    </w:p>
    <w:tbl>
      <w:tblPr>
        <w:tblW w:type="auto" w:w="0"/>
        <w:jc w:val="left"/>
        <w:tblLayout w:type="fixed"/>
        <w:tblLook w:firstColumn="1" w:firstRow="1" w:lastColumn="0" w:lastRow="0" w:noHBand="0" w:noVBand="1" w:val="04A0"/>
      </w:tblPr>
      <w:tblGrid>
        <w:gridCol w:w="2494"/>
        <w:gridCol w:w="6803"/>
      </w:tblGrid>
      <w:tr>
        <w:tc>
          <w:tcPr>
            <w:tcW w:type="dxa" w:w="2494"/>
            <w:shd w:fill="DDE7F4"/>
            <w:tcBorders>
              <w:top w:val="single" w:sz="6" w:space="0" w:color="C8D3E0"/>
              <w:left w:val="single" w:sz="6" w:space="0" w:color="C8D3E0"/>
              <w:bottom w:val="single" w:sz="6" w:space="0" w:color="C8D3E0"/>
              <w:right w:val="single" w:sz="6" w:space="0" w:color="C8D3E0"/>
            </w:tcBorders>
            <w:tcMar>
              <w:top w:w="80" w:type="dxa"/>
              <w:start w:w="100" w:type="dxa"/>
              <w:bottom w:w="80" w:type="dxa"/>
              <w:end w:w="100" w:type="dxa"/>
            </w:tcMar>
          </w:tcPr>
          <w:p>
            <w:r>
              <w:rPr>
                <w:rFonts w:ascii="Arial" w:hAnsi="Arial"/>
                <w:b/>
                <w:i w:val="0"/>
                <w:color w:val="1F3C88"/>
                <w:sz w:val="20"/>
              </w:rPr>
              <w:t>Onderdeel</w:t>
            </w:r>
          </w:p>
        </w:tc>
        <w:tc>
          <w:tcPr>
            <w:tcW w:type="dxa" w:w="6803"/>
            <w:shd w:fill="DDE7F4"/>
            <w:tcBorders>
              <w:top w:val="single" w:sz="6" w:space="0" w:color="C8D3E0"/>
              <w:left w:val="single" w:sz="6" w:space="0" w:color="C8D3E0"/>
              <w:bottom w:val="single" w:sz="6" w:space="0" w:color="C8D3E0"/>
              <w:right w:val="single" w:sz="6" w:space="0" w:color="C8D3E0"/>
            </w:tcBorders>
            <w:tcMar>
              <w:top w:w="80" w:type="dxa"/>
              <w:start w:w="100" w:type="dxa"/>
              <w:bottom w:w="80" w:type="dxa"/>
              <w:end w:w="100" w:type="dxa"/>
            </w:tcMar>
          </w:tcPr>
          <w:p>
            <w:r>
              <w:rPr>
                <w:rFonts w:ascii="Arial" w:hAnsi="Arial"/>
                <w:b/>
                <w:i w:val="0"/>
                <w:color w:val="1F3C88"/>
                <w:sz w:val="20"/>
              </w:rPr>
              <w:t>Inhoud</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Welk document gebruik ik voor een voorstel?</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Gebruik voor WEB het WEB-offerteformat en voor SEO het SEO-offerteformat. Vul alleen details in die je zeker weet of die intern bevestigd zijn.</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Wat moet ik na een eerste gesprek vastleggen?</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Pijnpunt, huidige situatie, prioriteit, timing, budgetindicatie, gekozen route (WEB / SEO / combinatie) en duidelijke volgende stap.</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Wat is de veiligste volgende stap als nog niet alles duidelijk is?</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Een korte interne check en daarna een voorstel of vervolggesprek. Liever één ronde extra afstemming dan een onzuivere belofte.</w:t>
            </w:r>
          </w:p>
        </w:tc>
      </w:tr>
    </w:tbl>
    <w:p/>
    <w:sectPr w:rsidR="00FC693F" w:rsidRPr="0006063C" w:rsidSect="00034616">
      <w:headerReference w:type="default" r:id="rId9"/>
      <w:footerReference w:type="default" r:id="rId10"/>
      <w:pgSz w:w="12240" w:h="15840"/>
      <w:pgMar w:top="964" w:right="1020" w:bottom="85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b w:val="0"/>
        <w:i w:val="0"/>
        <w:color w:val="606060"/>
        <w:sz w:val="17"/>
      </w:rPr>
      <w:t>Intern gebruik | Concept v1.0 | 24-03-2026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606060"/>
        <w:sz w:val="17"/>
      </w:rPr>
      <w:t>OneGroup | Sales Executive dashboard | 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3C88"/>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1F3C88"/>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1F3C8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3C8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60606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