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i w:val="0"/>
          <w:color w:val="385894"/>
          <w:sz w:val="18"/>
        </w:rPr>
        <w:t>OFFERTEFORMAT</w:t>
      </w:r>
    </w:p>
    <w:p>
      <w:pPr>
        <w:pStyle w:val="Title"/>
        <w:spacing w:after="40"/>
        <w:jc w:val="left"/>
      </w:pPr>
      <w:r>
        <w:rPr>
          <w:rFonts w:ascii="Arial" w:hAnsi="Arial"/>
          <w:b/>
          <w:i w:val="0"/>
          <w:color w:val="1F3C88"/>
          <w:sz w:val="48"/>
        </w:rPr>
        <w:t>Offerteformat KlikKlaarSEO</w:t>
      </w:r>
    </w:p>
    <w:p>
      <w:pPr>
        <w:pStyle w:val="Subtitle"/>
        <w:spacing w:after="160"/>
      </w:pPr>
      <w:r>
        <w:rPr>
          <w:rFonts w:ascii="Arial" w:hAnsi="Arial"/>
          <w:b w:val="0"/>
          <w:i w:val="0"/>
          <w:color w:val="606060"/>
          <w:sz w:val="22"/>
        </w:rPr>
        <w:t>Bewerkbare Word-template voor voorstel en interne afstemming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EAF2F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Gebruik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Vul uitsluitend onderdelen in die intern bevestigd zijn. Gebruik dit format ook als interne conceptversie voordat het voorstel naar de klant gaat.</w:t>
            </w:r>
          </w:p>
        </w:tc>
      </w:tr>
    </w:tbl>
    <w:p/>
    <w:p>
      <w:pPr>
        <w:pStyle w:val="Heading1"/>
      </w:pPr>
      <w:r>
        <w:t>1. Klantgegevens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c>
          <w:tcPr>
            <w:tcW w:type="dxa" w:w="2494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Onderdeel</w:t>
            </w:r>
          </w:p>
        </w:tc>
        <w:tc>
          <w:tcPr>
            <w:tcW w:type="dxa" w:w="6803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Inhoud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Klantnaam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Contactpersoon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Bedrijf / website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Datum voorstel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24-03-2026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Sales Executive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</w:tbl>
    <w:p/>
    <w:p>
      <w:pPr>
        <w:pStyle w:val="Heading1"/>
      </w:pPr>
      <w:r>
        <w:t>2. Managementsamenvatting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EAF2F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Samenvatting voor de klant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[Beschrijf in 4-6 regels de huidige situatie, de kernfrustratie en waarom KlikKlaarSEO de logische volgende stap is. Houd het in gewone mensentaal: beter gevonden worden, meer structuur, minder gedoe.]</w:t>
            </w:r>
          </w:p>
        </w:tc>
      </w:tr>
    </w:tbl>
    <w:p/>
    <w:p>
      <w:pPr>
        <w:pStyle w:val="Heading1"/>
      </w:pPr>
      <w:r>
        <w:t>3. Doelstellingen en huidige situatie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c>
          <w:tcPr>
            <w:tcW w:type="dxa" w:w="2494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Onderdeel</w:t>
            </w:r>
          </w:p>
        </w:tc>
        <w:tc>
          <w:tcPr>
            <w:tcW w:type="dxa" w:w="6803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Inhoud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Huidige situatie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[Bijvoorbeeld: weinig organische zichtbaarheid / website staat, maar wordt beperkt gevonden / geen duidelijke SEO-aanpak.]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Gewenst effect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[Bijvoorbeeld: beter zichtbaar zijn op Google en AI voor kernactiviteiten.]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Prioritaire zoekrichtingen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Belangrijkste KPI of succesmaat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 - alleen indien intern afgestemd.]</w:t>
            </w:r>
          </w:p>
        </w:tc>
      </w:tr>
    </w:tbl>
    <w:p/>
    <w:p>
      <w:pPr>
        <w:pStyle w:val="Heading1"/>
      </w:pPr>
      <w:r>
        <w:t>4. Voorstel / scope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[Omschrijf hier de afgesproken aanpak in duidelijke blokken.]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[Noem alleen deliverables die zeker zijn: analyse, optimalisatie, content, rapportage, overleg, dashboard of combinatie.]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[Voeg hier de frequentie toe zodra intern bevestigd.]</w:t>
      </w:r>
    </w:p>
    <w:p>
      <w:pPr>
        <w:pStyle w:val="Heading1"/>
      </w:pPr>
      <w:r>
        <w:t>5. Investering en voorwaarden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c>
          <w:tcPr>
            <w:tcW w:type="dxa" w:w="2494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Onderdeel</w:t>
            </w:r>
          </w:p>
        </w:tc>
        <w:tc>
          <w:tcPr>
            <w:tcW w:type="dxa" w:w="6803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Inhoud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Eenmalige opstart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[EUR ... of n.v.t.]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Maandelijkse investering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[EUR ...]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Voorgestelde looptijd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Opzegtermijn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Rapportageritme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FFF4D6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Interne check vóór verzenden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Prijs, contractduur, rapportagevorm, leveringsritme, scopegrenzen en eventuele exclusiviteit eerst intern valideren. Niet gebruiken als definitieve offerte zolang één van deze punten openstaat.</w:t>
            </w:r>
          </w:p>
        </w:tc>
      </w:tr>
    </w:tbl>
    <w:p/>
    <w:p>
      <w:pPr>
        <w:pStyle w:val="Heading1"/>
      </w:pPr>
      <w:r>
        <w:t>6. Aannames en uitsluitingen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[Voorbeeld: resultaten zijn afhankelijk van markt, uitgangssituatie en concurrentie.]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[Voorbeeld: harde rankinggaranties worden niet afgegeven.]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[Voorbeeld: aanvullende werkzaamheden buiten scope worden apart afgestemd.]</w:t>
      </w:r>
    </w:p>
    <w:p>
      <w:pPr>
        <w:pStyle w:val="Heading1"/>
      </w:pPr>
      <w:r>
        <w:t>7. Akkoord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5100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40" w:type="dxa"/>
              <w:start w:w="120" w:type="dxa"/>
              <w:bottom w:w="35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Namens klant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[Naam]</w:t>
              <w:br/>
              <w:t>[Functie]</w:t>
              <w:br/>
              <w:t>Handtekening: ____________________</w:t>
            </w:r>
          </w:p>
        </w:tc>
        <w:tc>
          <w:tcPr>
            <w:tcW w:type="dxa" w:w="5100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40" w:type="dxa"/>
              <w:start w:w="120" w:type="dxa"/>
              <w:bottom w:w="35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Namens leverancier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[Naam]</w:t>
              <w:br/>
              <w:t>[Functie]</w:t>
              <w:br/>
              <w:t>Handtekening: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606060"/>
        <w:sz w:val="17"/>
      </w:rPr>
      <w:t>Intern gebruik | Concept v1.0 | 24-03-2026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606060"/>
        <w:sz w:val="17"/>
      </w:rPr>
      <w:t>OneGroup | Sales Executive dashboard | Offerte SEO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3C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3C8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3C8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C8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