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Arial" w:hAnsi="Arial" w:eastAsia="Arial"/>
          <w:b/>
          <w:color w:val="087F8C"/>
          <w:sz w:val="14"/>
        </w:rPr>
        <w:t>TECHNICAL DESIGN  /  PROPOSED</w:t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12233F"/>
          <w:sz w:val="50"/>
        </w:rPr>
        <w:t>EvidenceGraph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color w:val="5F6B7A"/>
          <w:sz w:val="22"/>
        </w:rPr>
        <w:t>Two-week MVP for hierarchical reading and dynamic evidence budgets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808"/>
      </w:tblGrid>
      <w:tr>
        <w:tc>
          <w:tcPr>
            <w:tcW w:type="dxa" w:w="2520"/>
            <w:shd w:fill="F4F6F8"/>
            <w:tcMar>
              <w:top w:w="80" w:type="dxa"/>
              <w:start w:w="100" w:type="dxa"/>
              <w:bottom w:w="78" w:type="dxa"/>
              <w:end w:w="90" w:type="dxa"/>
            </w:tcMar>
            <w:tcBorders>
              <w:bottom w:val="single" w:sz="5" w:color="D7DEE8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5F6B7A"/>
                <w:sz w:val="12"/>
              </w:rPr>
              <w:t>OWNER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2233F"/>
                <w:sz w:val="15"/>
              </w:rPr>
              <w:t>Justin Wang</w:t>
            </w:r>
          </w:p>
        </w:tc>
        <w:tc>
          <w:tcPr>
            <w:tcW w:type="dxa" w:w="2520"/>
            <w:shd w:fill="F4F6F8"/>
            <w:tcMar>
              <w:top w:w="80" w:type="dxa"/>
              <w:start w:w="100" w:type="dxa"/>
              <w:bottom w:w="78" w:type="dxa"/>
              <w:end w:w="90" w:type="dxa"/>
            </w:tcMar>
            <w:tcBorders>
              <w:bottom w:val="single" w:sz="5" w:color="D7DEE8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5F6B7A"/>
                <w:sz w:val="12"/>
              </w:rPr>
              <w:t>PORTFOLIO TARGET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2233F"/>
                <w:sz w:val="15"/>
              </w:rPr>
              <w:t>ML / applied science</w:t>
            </w:r>
          </w:p>
        </w:tc>
        <w:tc>
          <w:tcPr>
            <w:tcW w:type="dxa" w:w="2520"/>
            <w:shd w:fill="F4F6F8"/>
            <w:tcMar>
              <w:top w:w="80" w:type="dxa"/>
              <w:start w:w="100" w:type="dxa"/>
              <w:bottom w:w="78" w:type="dxa"/>
              <w:end w:w="90" w:type="dxa"/>
            </w:tcMar>
            <w:tcBorders>
              <w:bottom w:val="single" w:sz="5" w:color="D7DEE8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5F6B7A"/>
                <w:sz w:val="12"/>
              </w:rPr>
              <w:t>BUILD HORIZON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2233F"/>
                <w:sz w:val="15"/>
              </w:rPr>
              <w:t>2 weeks / 10 days</w:t>
            </w:r>
          </w:p>
        </w:tc>
        <w:tc>
          <w:tcPr>
            <w:tcW w:type="dxa" w:w="2808"/>
            <w:shd w:fill="F4F6F8"/>
            <w:tcMar>
              <w:top w:w="80" w:type="dxa"/>
              <w:start w:w="100" w:type="dxa"/>
              <w:bottom w:w="78" w:type="dxa"/>
              <w:end w:w="90" w:type="dxa"/>
            </w:tcMar>
            <w:tcBorders>
              <w:bottom w:val="single" w:sz="5" w:color="D7DEE8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5F6B7A"/>
                <w:sz w:val="12"/>
              </w:rPr>
              <w:t>MVP SCALE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2233F"/>
                <w:sz w:val="15"/>
              </w:rPr>
              <w:t>≤25K chunks • local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Mar>
              <w:top w:w="115" w:type="dxa"/>
              <w:start w:w="145" w:type="dxa"/>
              <w:bottom w:w="110" w:type="dxa"/>
              <w:end w:w="145" w:type="dxa"/>
            </w:tcMar>
            <w:tcBorders>
              <w:top w:val="single" w:sz="4" w:color="D7DEE8"/>
              <w:left w:val="single" w:sz="24" w:color="087F8C"/>
              <w:bottom w:val="single" w:sz="4" w:color="D7DEE8"/>
              <w:right w:val="single" w:sz="4" w:color="D7DEE8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87F8C"/>
                <w:sz w:val="14"/>
              </w:rPr>
              <w:t xml:space="preserve">EXECUTIVE SUMMARY  </w:t>
            </w:r>
            <w:r>
              <w:rPr>
                <w:rFonts w:ascii="Arial" w:hAnsi="Arial" w:eastAsia="Arial"/>
                <w:color w:val="243247"/>
                <w:sz w:val="17"/>
              </w:rPr>
              <w:t>Build a focused EvidenceGraph MVP that converts a question into explicit evidence requirements, searches a local corpus with BM25 and dense retrieval, and progressively opens titles, summaries, sections, paragraphs, and—only when necessary—full documents. A lightweight claim/provenance graph tracks gathered evidence, while a bounded supervisor may deepen the read or perform one additional search before producing a cited answer.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Design goals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COMPLETENESS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Plan the evidence needed to answer each subtask, not merely the passages most similar to the query.</w:t>
            </w:r>
          </w:p>
        </w:tc>
        <w:tc>
          <w:tcPr>
            <w:tcW w:type="dxa" w:w="2592"/>
            <w:shd w:fill="E6F7F6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READ EFFICIENCY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Spend tokens progressively; open deeper document levels only when expected evidence gain justifies cost.</w:t>
            </w:r>
          </w:p>
        </w:tc>
        <w:tc>
          <w:tcPr>
            <w:tcW w:type="dxa" w:w="2592"/>
            <w:shd w:fill="F0EC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CONTRADICTION AWARENESS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Track supporting and opposing claims, source reliability, and unresolved conflicts explicitly.</w:t>
            </w:r>
          </w:p>
        </w:tc>
        <w:tc>
          <w:tcPr>
            <w:tcW w:type="dxa" w:w="2592"/>
            <w:shd w:fill="FFF6D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INSPECTABILITY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Expose the task graph, search path, read decisions, evidence graph, citations, and stop reason.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color w:val="087F8C"/>
          <w:sz w:val="14"/>
        </w:rPr>
        <w:t>ONLINE DECISION LOOP</w:t>
      </w:r>
    </w:p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EvidenceGraph reference architecture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01  QUERY + API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Accept the question, corpus scope, user context, and hard constraints.</w:t>
            </w:r>
          </w:p>
        </w:tc>
        <w:tc>
          <w:tcPr>
            <w:tcW w:type="dxa" w:w="2592"/>
            <w:shd w:fill="E6F7F6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02  AGENT ORCHESTRATOR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Goal Parser • Task Graph Planner • Evidence Requirement Planner</w:t>
            </w:r>
          </w:p>
        </w:tc>
        <w:tc>
          <w:tcPr>
            <w:tcW w:type="dxa" w:w="2592"/>
            <w:shd w:fill="F0EC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03  CORPUS CONTROLLER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Translate evidence needs into bounded retrieval and reading actions.</w:t>
            </w:r>
          </w:p>
        </w:tc>
        <w:tc>
          <w:tcPr>
            <w:tcW w:type="dxa" w:w="2592"/>
            <w:shd w:fill="FFF6D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04  SEARCH BROKER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MVP: BM25 • dense vector • metadata. Later: sparse • KG • citation/link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05  CANDIDATE POOL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Merge, deduplicate, and preserve retriever provenance.</w:t>
            </w:r>
          </w:p>
        </w:tc>
        <w:tc>
          <w:tcPr>
            <w:tcW w:type="dxa" w:w="2592"/>
            <w:shd w:fill="E6F7F6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06  HYBRID RANKER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Fuse channels, cross-encode, apply graph and reliability features.</w:t>
            </w:r>
          </w:p>
        </w:tc>
        <w:tc>
          <w:tcPr>
            <w:tcW w:type="dxa" w:w="2592"/>
            <w:shd w:fill="F0EC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07  HIERARCHICAL READER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Titles → summaries → section abstracts → paragraphs → full documents</w:t>
            </w:r>
          </w:p>
        </w:tc>
        <w:tc>
          <w:tcPr>
            <w:tcW w:type="dxa" w:w="2592"/>
            <w:shd w:fill="FFF6D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08  EVIDENCE MEMORY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MVP: Evidence Store + claim/provenance graph. Stretch: entities, reliability, contradictions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4031"/>
        <w:gridCol w:w="3168"/>
        <w:gridCol w:w="3168"/>
      </w:tblGrid>
      <w:tr>
        <w:tc>
          <w:tcPr>
            <w:tcW w:type="dxa" w:w="4031"/>
            <w:shd w:fill="E6F7F6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09  REASONING SUPERVISOR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Check evidence coverage, confidence, contradiction status, and remaining budget; loop to Search Broker when gaps remain.</w:t>
            </w:r>
          </w:p>
        </w:tc>
        <w:tc>
          <w:tcPr>
            <w:tcW w:type="dxa" w:w="3168"/>
            <w:shd w:fill="F0EC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10  SYNTHESIS ENGINE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Compose an answer from supported claims while preserving uncertainty and source boundaries.</w:t>
            </w:r>
          </w:p>
        </w:tc>
        <w:tc>
          <w:tcPr>
            <w:tcW w:type="dxa" w:w="3168"/>
            <w:shd w:fill="FFF6D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3"/>
              </w:rPr>
              <w:t>11  CITATION GENERATOR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3"/>
              </w:rPr>
              <w:t>Bind claims to evidence spans and return a cited final answer.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15" w:type="dxa"/>
              <w:start w:w="145" w:type="dxa"/>
              <w:bottom w:w="110" w:type="dxa"/>
              <w:end w:w="145" w:type="dxa"/>
            </w:tcMar>
            <w:tcBorders>
              <w:top w:val="single" w:sz="4" w:color="D7DEE8"/>
              <w:left w:val="single" w:sz="24" w:color="12233F"/>
              <w:bottom w:val="single" w:sz="4" w:color="D7DEE8"/>
              <w:right w:val="single" w:sz="4" w:color="D7DEE8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 xml:space="preserve">OFFLINE INDEXING  </w:t>
            </w:r>
            <w:r>
              <w:rPr>
                <w:rFonts w:ascii="Arial" w:hAnsi="Arial" w:eastAsia="Arial"/>
                <w:color w:val="243247"/>
                <w:sz w:val="14"/>
              </w:rPr>
              <w:t>MVP: local parser → hierarchical chunker → embedding generator → BM25 + FAISS + SQLite/NetworkX stores. Every evidence item carries document, section, passage, and provenance identifiers; distributed graph and index services are deferred.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Core design decisions</w:t>
      </w:r>
    </w:p>
    <w:tbl>
      <w:tblPr>
        <w:tblW w:type="dxa" w:w="10367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3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80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RATIONALE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Plan evidence before search</w:t>
            </w:r>
          </w:p>
        </w:tc>
        <w:tc>
          <w:tcPr>
            <w:tcW w:type="dxa" w:w="80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The Evidence Requirement Planner defines what must be supported for every task-graph node, enabling coverage-based stopping.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Read progressively</w:t>
            </w:r>
          </w:p>
        </w:tc>
        <w:tc>
          <w:tcPr>
            <w:tcW w:type="dxa" w:w="80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The system ranks both documents and the next reading action; full-document reads are an exception, not the default.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Memory is structured</w:t>
            </w:r>
          </w:p>
        </w:tc>
        <w:tc>
          <w:tcPr>
            <w:tcW w:type="dxa" w:w="80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The MVP keeps claims, evidence spans, provenance, and lightweight entity links queryable; learned reliability and full contradiction modeling are stretch.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Bound the agent loop</w:t>
            </w:r>
          </w:p>
        </w:tc>
        <w:tc>
          <w:tcPr>
            <w:tcW w:type="dxa" w:w="80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The Reasoning Supervisor can deepen or re-search only while coverage improves and token, latency, and iteration budgets remain.</w:t>
            </w:r>
          </w:p>
        </w:tc>
      </w:tr>
    </w:tbl>
    <w:p>
      <w:r>
        <w:br w:type="page"/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color w:val="087F8C"/>
          <w:sz w:val="14"/>
        </w:rPr>
        <w:t>PAGE 2 / TWO-WEEK MVP BEHAVIOR</w:t>
      </w:r>
    </w:p>
    <w:p>
      <w:pPr>
        <w:keepNext/>
        <w:spacing w:before="100" w:after="80" w:line="240" w:lineRule="auto"/>
        <w:pBdr>
          <w:bottom w:val="single" w:sz="11" w:space="3" w:color="00A6A6"/>
        </w:pBdr>
      </w:pPr>
      <w:r>
        <w:rPr>
          <w:rFonts w:ascii="Arial" w:hAnsi="Arial" w:eastAsia="Arial"/>
          <w:b/>
          <w:color w:val="12233F"/>
          <w:sz w:val="30"/>
        </w:rPr>
        <w:t>Retrieval, reading, and reasoning strategy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color w:val="243247"/>
          <w:sz w:val="17"/>
        </w:rPr>
        <w:t>The MVP implements the original EvidenceGraph loop as a deterministic, budgeted cascade. It preserves the architectural idea while avoiding learned controllers and distributed services.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1180"/>
        <w:gridCol w:w="5400"/>
        <w:gridCol w:w="1800"/>
        <w:gridCol w:w="1483"/>
      </w:tblGrid>
      <w:tr>
        <w:trPr>
          <w:cantSplit/>
          <w:tblHeader w:val="true"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MVP OPERATION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BOUND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1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Plan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Parse the goal into at most three task nodes and one evidence checklist per node.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task graph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1 call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2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Search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Run BM25 and dense retrieval concurrently; apply metadata filters and retain provenance.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2 × top 75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round 1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3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Rank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Deduplicate, reciprocal-rank fuse, then cross-encode the best candidates.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top 20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fixed k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4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Read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Open titles/summaries first, then sections/paragraphs by expected evidence gain; full docs are fallback.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≤12K tokens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5 levels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5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Remember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Store evidence spans, claims, entities, support links, and optional NLI contradiction flags.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query graph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6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Supervise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Measure checklist coverage; stop or run one rewritten search for uncovered requirements.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0–1 retry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max 2 rounds</w:t>
            </w:r>
          </w:p>
        </w:tc>
      </w:tr>
      <w:tr>
        <w:trPr>
          <w:cantSplit/>
        </w:trPr>
        <w:tc>
          <w:tcPr>
            <w:tcW w:type="dxa" w:w="50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7</w:t>
            </w:r>
          </w:p>
        </w:tc>
        <w:tc>
          <w:tcPr>
            <w:tcW w:type="dxa" w:w="11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Synthesize</w:t>
            </w:r>
          </w:p>
        </w:tc>
        <w:tc>
          <w:tcPr>
            <w:tcW w:type="dxa" w:w="5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Generate only from supported claims and bind each answer claim to evidence spans.</w:t>
            </w:r>
          </w:p>
        </w:tc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cited answer</w:t>
            </w:r>
          </w:p>
        </w:tc>
        <w:tc>
          <w:tcPr>
            <w:tcW w:type="dxa" w:w="14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final</w:t>
            </w:r>
          </w:p>
        </w:tc>
      </w:tr>
    </w:tbl>
    <w:p>
      <w:pPr>
        <w:keepNext w:val="0"/>
        <w:spacing w:before="0" w:after="60" w:line="259" w:lineRule="auto"/>
      </w:pPr>
      <w:r>
        <w:rPr>
          <w:rFonts w:ascii="Arial" w:hAnsi="Arial" w:eastAsia="Arial"/>
          <w:color w:val="5F6B7A"/>
          <w:sz w:val="14"/>
        </w:rPr>
        <w:t>Hard MVP limits: ≤3 task nodes, ≤2 search rounds, ≤20 reranked candidates, ≤12K evidence tokens, and one local corpus of ≤25K passages.</w:t>
      </w:r>
    </w:p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Candidate ranking and dynamic reading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F"/>
            <w:tcMar>
              <w:top w:w="115" w:type="dxa"/>
              <w:start w:w="145" w:type="dxa"/>
              <w:bottom w:w="110" w:type="dxa"/>
              <w:end w:w="145" w:type="dxa"/>
            </w:tcMar>
            <w:tcBorders>
              <w:top w:val="single" w:sz="4" w:color="D7DEE8"/>
              <w:left w:val="single" w:sz="24" w:color="2F6BFF"/>
              <w:bottom w:val="single" w:sz="4" w:color="D7DEE8"/>
              <w:right w:val="single" w:sz="4" w:color="D7DEE8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F6BFF"/>
                <w:sz w:val="14"/>
              </w:rPr>
              <w:t xml:space="preserve">CANDIDATE SCORE  </w:t>
            </w:r>
            <w:r>
              <w:rPr>
                <w:rFonts w:ascii="Arial" w:hAnsi="Arial" w:eastAsia="Arial"/>
                <w:color w:val="243247"/>
                <w:sz w:val="16"/>
              </w:rPr>
              <w:t>Rank(q,d) = α·RRF(BM25,dense) + β·cross-encoder(q,d) + γ·metadata fit − δ·redundancy. Start with fixed weights, tune only α and β on validation judgments, and log each component so ranking decisions remain inspectable.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Mar>
              <w:top w:w="115" w:type="dxa"/>
              <w:start w:w="145" w:type="dxa"/>
              <w:bottom w:w="110" w:type="dxa"/>
              <w:end w:w="145" w:type="dxa"/>
            </w:tcMar>
            <w:tcBorders>
              <w:top w:val="single" w:sz="4" w:color="D7DEE8"/>
              <w:left w:val="single" w:sz="24" w:color="087F8C"/>
              <w:bottom w:val="single" w:sz="4" w:color="D7DEE8"/>
              <w:right w:val="single" w:sz="4" w:color="D7DEE8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87F8C"/>
                <w:sz w:val="14"/>
              </w:rPr>
              <w:t xml:space="preserve">READ UTILITY  </w:t>
            </w:r>
            <w:r>
              <w:rPr>
                <w:rFonts w:ascii="Arial" w:hAnsi="Arial" w:eastAsia="Arial"/>
                <w:color w:val="243247"/>
                <w:sz w:val="16"/>
              </w:rPr>
              <w:t>Utility(action) = expected evidence-coverage gain ÷ (token cost + latency cost). A rule-based controller selects the highest-utility next view: title → summary → section abstract → paragraph → full document. The learned policy described by the full architecture is deferred.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8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087F8C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EVIDENCE MEMORY</w:t>
            </w:r>
          </w:p>
        </w:tc>
        <w:tc>
          <w:tcPr>
            <w:tcW w:type="dxa" w:w="82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087F8C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TWO-WEEK IMPLEMENTATION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Evidence Store</w:t>
            </w:r>
          </w:p>
        </w:tc>
        <w:tc>
          <w:tcPr>
            <w:tcW w:type="dxa" w:w="82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Exact passage text, hierarchy path, retriever/rank scores, document ID, and citation span.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Claim Graph</w:t>
            </w:r>
          </w:p>
        </w:tc>
        <w:tc>
          <w:tcPr>
            <w:tcW w:type="dxa" w:w="82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Claim nodes linked to task requirements and evidence with supports / challenges edges.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Entity Graph</w:t>
            </w:r>
          </w:p>
        </w:tc>
        <w:tc>
          <w:tcPr>
            <w:tcW w:type="dxa" w:w="82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MVP entity strings and co-occurrence links; full entity resolution is deferred.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Reliability</w:t>
            </w:r>
          </w:p>
        </w:tc>
        <w:tc>
          <w:tcPr>
            <w:tcW w:type="dxa" w:w="82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Static metadata heuristic only; learned source-reliability tracking is deferred.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Contradictions</w:t>
            </w:r>
          </w:p>
        </w:tc>
        <w:tc>
          <w:tcPr>
            <w:tcW w:type="dxa" w:w="828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Optional local NLI flag on top claim pairs; comprehensive contradiction detection is stretch.</w:t>
            </w:r>
          </w:p>
        </w:tc>
      </w:tr>
    </w:tbl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Evaluation plan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56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7656D6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85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7656D6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PLAN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Dataset</w:t>
            </w:r>
          </w:p>
        </w:tc>
        <w:tc>
          <w:tcPr>
            <w:tcW w:type="dxa" w:w="85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75–100 queries over one public corpus; 0–3 passage relevance; 20 end-to-end questions with claim-level evidence labels.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Baselines</w:t>
            </w:r>
          </w:p>
        </w:tc>
        <w:tc>
          <w:tcPr>
            <w:tcW w:type="dxa" w:w="85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BM25, dense-only, flat hybrid RAG. Compare +reranker, +hierarchical reader, and +bounded evidence loop.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Retrieval</w:t>
            </w:r>
          </w:p>
        </w:tc>
        <w:tc>
          <w:tcPr>
            <w:tcW w:type="dxa" w:w="85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Recall@20, MRR@10, nDCG@10, duplicate rate, and success by factoid / comparison / multi-hop slice.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Evidence</w:t>
            </w:r>
          </w:p>
        </w:tc>
        <w:tc>
          <w:tcPr>
            <w:tcW w:type="dxa" w:w="85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Requirement coverage, evidence recall per 1K tokens, full-document open rate, and marginal gain per read action.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Answer</w:t>
            </w:r>
          </w:p>
        </w:tc>
        <w:tc>
          <w:tcPr>
            <w:tcW w:type="dxa" w:w="85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Claim support, citation precision/recall, correctness rubric, latency, and total evidence tokens.</w:t>
            </w:r>
          </w:p>
        </w:tc>
      </w:tr>
    </w:tbl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Release gates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QUALITY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nDCG@10 ≥10% relative over the stronger single-retriever baseline.</w:t>
            </w:r>
          </w:p>
        </w:tc>
        <w:tc>
          <w:tcPr>
            <w:tcW w:type="dxa" w:w="2592"/>
            <w:shd w:fill="E6F7F6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COVERAGE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≥0.80 evidence-requirement coverage on the 20-question end-to-end set.</w:t>
            </w:r>
          </w:p>
        </w:tc>
        <w:tc>
          <w:tcPr>
            <w:tcW w:type="dxa" w:w="2592"/>
            <w:shd w:fill="F0EC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EFFICIENCY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≥30% fewer evidence tokens than flat top-k RAG at comparable answer quality.</w:t>
            </w:r>
          </w:p>
        </w:tc>
        <w:tc>
          <w:tcPr>
            <w:tcW w:type="dxa" w:w="2592"/>
            <w:shd w:fill="FFF6D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TRUST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Citation precision ≥0.90; every generated factual claim must reference stored evidence.</w:t>
            </w:r>
          </w:p>
        </w:tc>
      </w:tr>
    </w:tbl>
    <w:p>
      <w:pPr>
        <w:keepNext w:val="0"/>
        <w:spacing w:before="0" w:after="0" w:line="240" w:lineRule="auto"/>
      </w:pP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color w:val="087F8C"/>
          <w:sz w:val="14"/>
        </w:rPr>
        <w:t>PAGE 3 / EXECUTION</w:t>
      </w:r>
    </w:p>
    <w:p>
      <w:pPr>
        <w:keepNext/>
        <w:spacing w:before="100" w:after="80" w:line="240" w:lineRule="auto"/>
        <w:pBdr>
          <w:bottom w:val="single" w:sz="11" w:space="3" w:color="00A6A6"/>
        </w:pBdr>
      </w:pPr>
      <w:r>
        <w:rPr>
          <w:rFonts w:ascii="Arial" w:hAnsi="Arial" w:eastAsia="Arial"/>
          <w:b/>
          <w:color w:val="12233F"/>
          <w:sz w:val="30"/>
        </w:rPr>
        <w:t>Two-week scope, schedule, and portfolio proof</w:t>
      </w:r>
    </w:p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MVP cutline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424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SHIP IN TWO WEEKS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12233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DEFER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Search Broker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BM25 + dense + metadata over one corpus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Sparse model, KG retriever, citation/link retriever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Orchestrator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Prompt/schema planner; ≤3 task nodes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Adaptive planning, tool learning, multi-agent execution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Reader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Deterministic 5-level utility heuristic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Learned read policy or reinforcement learning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Evidence Memory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SQLite/NetworkX evidence + claim graph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Persistent global graph, learned reliability model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Supervisor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Coverage rules; ≤1 re-search; hard token cap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Open-ended autonomous research loop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Infrastructure</w:t>
            </w:r>
          </w:p>
        </w:tc>
        <w:tc>
          <w:tcPr>
            <w:tcW w:type="dxa" w:w="4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Local single-user app; ≤25K passages</w:t>
            </w:r>
          </w:p>
        </w:tc>
        <w:tc>
          <w:tcPr>
            <w:tcW w:type="dxa" w:w="42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Distributed indexes, queues, ACLs, multitenancy</w:t>
            </w:r>
          </w:p>
        </w:tc>
      </w:tr>
    </w:tbl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Ten-day implementation plan</w:t>
      </w:r>
    </w:p>
    <w:tbl>
      <w:tblPr>
        <w:tblW w:type="dxa" w:w="10367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1440"/>
        <w:gridCol w:w="2088"/>
        <w:gridCol w:w="6263"/>
      </w:tblGrid>
      <w:tr>
        <w:trPr>
          <w:cantSplit/>
          <w:tblHeader w:val="true"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087F8C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087F8C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WHEN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087F8C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087F8C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EXIT DELIVERABLE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01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Days 1–2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Data + benchmark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Choose corpus; parse hierarchy; label first 75 queries; ship BM25 and dense baselines.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02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Days 3–4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Hybrid retrieval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RRF, dedupe, cross-encoder rerank, provenance records, offline retrieval report.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03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Days 5–6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Reader + memory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Five-level document views, fixed utility policy, evidence store, claim graph inspector.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04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Days 7–8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Supervisor + answer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Evidence checklists, one re-search path, cited synthesis, token/latency tracing.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05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Day 9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Evaluate + ablate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Run baselines/ablations; error analysis; lock metrics and screenshots.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087F8C"/>
                <w:sz w:val="16"/>
              </w:rPr>
              <w:t>06</w:t>
            </w:r>
          </w:p>
        </w:tc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Day 10</w:t>
            </w:r>
          </w:p>
        </w:tc>
        <w:tc>
          <w:tcPr>
            <w:tcW w:type="dxa" w:w="20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Portfolio polish</w:t>
            </w:r>
          </w:p>
        </w:tc>
        <w:tc>
          <w:tcPr>
            <w:tcW w:type="dxa" w:w="626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Streamlit demo, README, architecture, Docker setup, tests, and 3-minute walkthrough.</w:t>
            </w:r>
          </w:p>
        </w:tc>
      </w:tr>
    </w:tbl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Recommended implementation stack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APP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Python • Pydantic • FastAPI • Streamlit</w:t>
            </w:r>
          </w:p>
        </w:tc>
        <w:tc>
          <w:tcPr>
            <w:tcW w:type="dxa" w:w="2592"/>
            <w:shd w:fill="E6F7F6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SEARCH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rank-bm25/Tantivy • FAISS • SQLite</w:t>
            </w:r>
          </w:p>
        </w:tc>
        <w:tc>
          <w:tcPr>
            <w:tcW w:type="dxa" w:w="2592"/>
            <w:shd w:fill="F0ECF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ML + GRAPH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SentenceTransformers • cross-encoder • NetworkX</w:t>
            </w:r>
          </w:p>
        </w:tc>
        <w:tc>
          <w:tcPr>
            <w:tcW w:type="dxa" w:w="2592"/>
            <w:shd w:fill="FFF6DF"/>
            <w:tcMar>
              <w:top w:w="110" w:type="dxa"/>
              <w:start w:w="115" w:type="dxa"/>
              <w:bottom w:w="105" w:type="dxa"/>
              <w:end w:w="115" w:type="dxa"/>
            </w:tcMar>
            <w:tcBorders>
              <w:top w:val="single" w:sz="8" w:color="D7DEE8"/>
              <w:left w:val="single" w:sz="8" w:color="D7DEE8"/>
              <w:bottom w:val="single" w:sz="8" w:color="D7DEE8"/>
              <w:right w:val="single" w:sz="8" w:color="D7DEE8"/>
            </w:tcBorders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QUALITY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rial" w:hAnsi="Arial" w:eastAsia="Arial"/>
                <w:color w:val="243247"/>
                <w:sz w:val="14"/>
              </w:rPr>
              <w:t>pytest • JSONL traces • Docker • simple benchmark CLI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/>
        <w:spacing w:before="80" w:after="60" w:line="240" w:lineRule="auto"/>
      </w:pPr>
      <w:r>
        <w:rPr>
          <w:rFonts w:ascii="Arial" w:hAnsi="Arial" w:eastAsia="Arial"/>
          <w:b/>
          <w:color w:val="12233F"/>
          <w:sz w:val="23"/>
        </w:rPr>
        <w:t>Portfolio deliverables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928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7656D6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ASSET</w:t>
            </w:r>
          </w:p>
        </w:tc>
        <w:tc>
          <w:tcPr>
            <w:tcW w:type="dxa" w:w="89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7656D6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WHAT A REVIEWER CAN VERIFY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REPO</w:t>
            </w:r>
          </w:p>
        </w:tc>
        <w:tc>
          <w:tcPr>
            <w:tcW w:type="dxa" w:w="89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One-command local setup, typed modules, tests, sample corpus, benchmark CLI, and no paid API dependency.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EVIDENCE</w:t>
            </w:r>
          </w:p>
        </w:tc>
        <w:tc>
          <w:tcPr>
            <w:tcW w:type="dxa" w:w="89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Baseline/ablation table, token-efficiency plot, evidence-coverage analysis, and 5–10 annotated failures.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DEMO</w:t>
            </w:r>
          </w:p>
        </w:tc>
        <w:tc>
          <w:tcPr>
            <w:tcW w:type="dxa" w:w="89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Ask a multi-part question → inspect task graph → watch read depth change → inspect claims/citations → see stop reason.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/>
                <w:color w:val="12233F"/>
                <w:sz w:val="14"/>
              </w:rPr>
              <w:t>STORY</w:t>
            </w:r>
          </w:p>
        </w:tc>
        <w:tc>
          <w:tcPr>
            <w:tcW w:type="dxa" w:w="892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4F6F8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 w:eastAsia="Arial"/>
                <w:b w:val="0"/>
                <w:color w:val="243247"/>
                <w:sz w:val="14"/>
              </w:rPr>
              <w:t>Explain why hierarchical reading and structured evidence improve efficiency and debuggability over flat RAG.</w:t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Mar>
              <w:top w:w="115" w:type="dxa"/>
              <w:start w:w="145" w:type="dxa"/>
              <w:bottom w:w="110" w:type="dxa"/>
              <w:end w:w="145" w:type="dxa"/>
            </w:tcMar>
            <w:tcBorders>
              <w:top w:val="single" w:sz="4" w:color="D7DEE8"/>
              <w:left w:val="single" w:sz="24" w:color="087F8C"/>
              <w:bottom w:val="single" w:sz="4" w:color="D7DEE8"/>
              <w:right w:val="single" w:sz="4" w:color="D7DEE8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87F8C"/>
                <w:sz w:val="14"/>
              </w:rPr>
              <w:t xml:space="preserve">DEFINITION OF DONE  </w:t>
            </w:r>
            <w:r>
              <w:rPr>
                <w:rFonts w:ascii="Arial" w:hAnsi="Arial" w:eastAsia="Arial"/>
                <w:color w:val="243247"/>
                <w:sz w:val="17"/>
              </w:rPr>
              <w:t>By the end of Day 10, a reviewer can run the system locally, reproduce the benchmark, inspect every search/read/stop decision, and verify whether hierarchical reading reduces evidence tokens without sacrificing supported-answer quality.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footerReference w:type="default" r:id="rId9"/>
      <w:pgSz w:w="12240" w:h="15840"/>
      <w:pgMar w:top="749" w:right="936" w:bottom="691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367"/>
      <w:tblLayout w:type="fixed"/>
      <w:tblLook w:firstColumn="1" w:firstRow="1" w:lastColumn="0" w:lastRow="0" w:noHBand="0" w:noVBand="1" w:val="04A0"/>
    </w:tblPr>
    <w:tblGrid>
      <w:gridCol w:w="8352"/>
      <w:gridCol w:w="2015"/>
    </w:tblGrid>
    <w:tr>
      <w:tc>
        <w:tcPr>
          <w:tcW w:type="dxa" w:w="8352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5" w:color="D7DEE8"/>
          </w:tcBorders>
        </w:tcPr>
        <w:p>
          <w:pPr>
            <w:keepNext w:val="0"/>
            <w:spacing w:before="60" w:after="0" w:line="240" w:lineRule="auto"/>
          </w:pPr>
          <w:r>
            <w:rPr>
              <w:rFonts w:ascii="Arial" w:hAnsi="Arial" w:eastAsia="Arial"/>
              <w:b/>
              <w:color w:val="5F6B7A"/>
              <w:sz w:val="13"/>
            </w:rPr>
            <w:t>EVIDENCEGRAPH  •  AGENTIC RETRIEVAL TECHNICAL DESIGN</w:t>
          </w:r>
        </w:p>
      </w:tc>
      <w:tc>
        <w:tcPr>
          <w:tcW w:type="dxa" w:w="2015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5" w:color="D7DEE8"/>
          </w:tcBorders>
        </w:tcPr>
        <w:p>
          <w:pPr>
            <w:keepNext w:val="0"/>
            <w:spacing w:before="60" w:after="0" w:line="240" w:lineRule="auto"/>
            <w:jc w:val="right"/>
          </w:pPr>
          <w:r>
            <w:rPr>
              <w:rFonts w:ascii="Arial" w:hAnsi="Arial" w:eastAsia="Arial"/>
              <w:color w:val="5F6B7A"/>
              <w:sz w:val="13"/>
            </w:rPr>
            <w:t xml:space="preserve">PAGE </w:t>
          </w:r>
          <w:r>
            <w:rPr>
              <w:rFonts w:ascii="Arial" w:hAnsi="Arial" w:eastAsia="Arial"/>
              <w:color w:val="5F6B7A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2432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EvidenceGraph — Two-Week MVP Technical Design</dc:title>
  <dc:subject>Portfolio-ready agentic retrieval with hierarchical reading and dynamic evidence budgets</dc:subject>
  <dc:creator>Justin Wang</dc:creator>
  <cp:keywords>EvidenceGraph, information retrieval, hierarchical reading, evidence graph, agentic RAG, evaluation</cp:keywords>
  <dc:description>Two-week MVP proposal grounded in the prior EvidenceGraph architecture; targets are acceptance criteria, not measured results.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