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</w:pPr>
      <w:r>
        <w:rPr>
          <w:rFonts w:ascii="Microsoft YaHei" w:hAnsi="Microsoft YaHei" w:eastAsia="Microsoft YaHei"/>
          <w:b/>
          <w:color w:val="E86F00"/>
          <w:sz w:val="20"/>
        </w:rPr>
        <w:t>内部资料</w:t>
      </w:r>
    </w:p>
    <w:p>
      <w:pPr>
        <w:spacing w:after="80"/>
      </w:pPr>
      <w:r>
        <w:rPr>
          <w:rFonts w:ascii="Microsoft YaHei" w:hAnsi="Microsoft YaHei" w:eastAsia="Microsoft YaHei"/>
          <w:b/>
          <w:color w:val="1F242A"/>
          <w:sz w:val="48"/>
        </w:rPr>
        <w:t>麒麟•灵眸原生大模型实时智诊平台</w:t>
        <w:br/>
        <w:t>项目简介</w:t>
      </w:r>
    </w:p>
    <w:p>
      <w:pPr>
        <w:spacing w:after="280"/>
      </w:pPr>
      <w:r>
        <w:rPr>
          <w:rFonts w:ascii="Microsoft YaHei" w:hAnsi="Microsoft YaHei" w:eastAsia="Microsoft YaHei"/>
          <w:b/>
          <w:color w:val="41464E"/>
          <w:sz w:val="25"/>
        </w:rPr>
        <w:t>以麒麟为基，炼灵眸为器；重塑金融多模态大模型实时诊断新范式</w:t>
      </w:r>
    </w:p>
    <w:tbl>
      <w:tblGrid>
        <w:gridCol w:w="1900"/>
        <w:gridCol w:w="74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B5563"/>
            <w:tcBorders>
              <w:top w:val="single" w:sz="6" w:space="0" w:color="B85C00"/>
              <w:left w:val="single" w:sz="6" w:space="0" w:color="B85C00"/>
              <w:bottom w:val="single" w:sz="6" w:space="0" w:color="B85C00"/>
              <w:right w:val="single" w:sz="6" w:space="0" w:color="B85C00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项目项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B5563"/>
            <w:tcBorders>
              <w:top w:val="single" w:sz="6" w:space="0" w:color="B85C00"/>
              <w:left w:val="single" w:sz="6" w:space="0" w:color="B85C00"/>
              <w:bottom w:val="single" w:sz="6" w:space="0" w:color="B85C00"/>
              <w:right w:val="single" w:sz="6" w:space="0" w:color="B85C00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0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材料类型</w:t>
            </w:r>
          </w:p>
        </w:tc>
        <w:tc>
          <w:tcPr>
            <w:tcW w:type="dxa" w:w="746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企业内部汇报 / 项目申报基础材料</w:t>
            </w:r>
          </w:p>
        </w:tc>
      </w:tr>
      <w:tr>
        <w:tc>
          <w:tcPr>
            <w:tcW w:type="dxa" w:w="190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适用对象</w:t>
            </w:r>
          </w:p>
        </w:tc>
        <w:tc>
          <w:tcPr>
            <w:tcW w:type="dxa" w:w="746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管理层、科技创新评审、金融科技与基础设施运维相关部门</w:t>
            </w:r>
          </w:p>
        </w:tc>
      </w:tr>
      <w:tr>
        <w:tc>
          <w:tcPr>
            <w:tcW w:type="dxa" w:w="190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项目定位</w:t>
            </w:r>
          </w:p>
        </w:tc>
        <w:tc>
          <w:tcPr>
            <w:tcW w:type="dxa" w:w="746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面向金融生产故障的多模态、实时化、可复核智能诊断平台</w:t>
            </w:r>
          </w:p>
        </w:tc>
      </w:tr>
      <w:tr>
        <w:tc>
          <w:tcPr>
            <w:tcW w:type="dxa" w:w="190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版本日期</w:t>
            </w:r>
          </w:p>
        </w:tc>
        <w:tc>
          <w:tcPr>
            <w:tcW w:type="dxa" w:w="746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2026年5月</w:t>
            </w:r>
          </w:p>
        </w:tc>
      </w:tr>
    </w:tbl>
    <w:p>
      <w:pPr>
        <w:spacing w:after="80"/>
      </w:pPr>
    </w:p>
    <w:tbl>
      <w:tblGrid>
        <w:gridCol w:w="93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3E7"/>
            <w:tcBorders>
              <w:top w:val="single" w:sz="8" w:space="0" w:color="F0B36A"/>
              <w:left w:val="single" w:sz="8" w:space="0" w:color="F0B36A"/>
              <w:bottom w:val="single" w:sz="8" w:space="0" w:color="F0B36A"/>
              <w:right w:val="single" w:sz="8" w:space="0" w:color="F0B36A"/>
            </w:tcBorders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E86F00"/>
                <w:sz w:val="22"/>
              </w:rPr>
              <w:t>核心判断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F242A"/>
                <w:sz w:val="20"/>
              </w:rPr>
              <w:t>项目已形成“原生大模型推理 + 状态图编排 + 标准化工具调用 + 诊断知识沉淀”的产品雏形，具备从单点故障分析工具升级为企业级智能运维基础能力的条件。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color w:val="41464E"/>
          <w:sz w:val="26"/>
        </w:rPr>
        <w:t>量化指标总览</w:t>
      </w:r>
    </w:p>
    <w:tbl>
      <w:tblGrid>
        <w:gridCol w:w="1700"/>
        <w:gridCol w:w="3650"/>
        <w:gridCol w:w="401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B5563"/>
            <w:tcBorders>
              <w:top w:val="single" w:sz="6" w:space="0" w:color="B85C00"/>
              <w:left w:val="single" w:sz="6" w:space="0" w:color="B85C00"/>
              <w:bottom w:val="single" w:sz="6" w:space="0" w:color="B85C00"/>
              <w:right w:val="single" w:sz="6" w:space="0" w:color="B85C00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指标类别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B5563"/>
            <w:tcBorders>
              <w:top w:val="single" w:sz="6" w:space="0" w:color="B85C00"/>
              <w:left w:val="single" w:sz="6" w:space="0" w:color="B85C00"/>
              <w:bottom w:val="single" w:sz="6" w:space="0" w:color="B85C00"/>
              <w:right w:val="single" w:sz="6" w:space="0" w:color="B85C00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当前可验证基础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B5563"/>
            <w:tcBorders>
              <w:top w:val="single" w:sz="6" w:space="0" w:color="B85C00"/>
              <w:left w:val="single" w:sz="6" w:space="0" w:color="B85C00"/>
              <w:bottom w:val="single" w:sz="6" w:space="0" w:color="B85C00"/>
              <w:right w:val="single" w:sz="6" w:space="0" w:color="B85C00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内部评估口径</w:t>
            </w:r>
          </w:p>
        </w:tc>
      </w:tr>
      <w:tr>
        <w:tc>
          <w:tcPr>
            <w:tcW w:type="dxa" w:w="170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服务接口</w:t>
            </w:r>
          </w:p>
        </w:tc>
        <w:tc>
          <w:tcPr>
            <w:tcW w:type="dxa" w:w="365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2 类接口：同步分析、流式进度回传</w:t>
            </w:r>
          </w:p>
        </w:tc>
        <w:tc>
          <w:tcPr>
            <w:tcW w:type="dxa" w:w="401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覆盖一线快速诊断和长任务过程跟踪。</w:t>
            </w:r>
          </w:p>
        </w:tc>
      </w:tr>
      <w:tr>
        <w:tc>
          <w:tcPr>
            <w:tcW w:type="dxa" w:w="170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推理轮次</w:t>
            </w:r>
          </w:p>
        </w:tc>
        <w:tc>
          <w:tcPr>
            <w:tcW w:type="dxa" w:w="365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同步任务递归上限 50 轮；流式任务递归上限 40 轮</w:t>
            </w:r>
          </w:p>
        </w:tc>
        <w:tc>
          <w:tcPr>
            <w:tcW w:type="dxa" w:w="401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用于约束多轮取证，避免无边界工具调用。</w:t>
            </w:r>
          </w:p>
        </w:tc>
      </w:tr>
      <w:tr>
        <w:tc>
          <w:tcPr>
            <w:tcW w:type="dxa" w:w="170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长任务支持</w:t>
            </w:r>
          </w:p>
        </w:tc>
        <w:tc>
          <w:tcPr>
            <w:tcW w:type="dxa" w:w="365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连接保持配置 3600 秒</w:t>
            </w:r>
          </w:p>
        </w:tc>
        <w:tc>
          <w:tcPr>
            <w:tcW w:type="dxa" w:w="401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支撑复杂故障的一小时级在线分析窗口。</w:t>
            </w:r>
          </w:p>
        </w:tc>
      </w:tr>
      <w:tr>
        <w:tc>
          <w:tcPr>
            <w:tcW w:type="dxa" w:w="170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工具覆盖</w:t>
            </w:r>
          </w:p>
        </w:tc>
        <w:tc>
          <w:tcPr>
            <w:tcW w:type="dxa" w:w="365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26 类系统诊断工具能力</w:t>
            </w:r>
          </w:p>
        </w:tc>
        <w:tc>
          <w:tcPr>
            <w:tcW w:type="dxa" w:w="401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覆盖系统、进程、内存、堆栈、日志、设备、地址转换等取证维度。</w:t>
            </w:r>
          </w:p>
        </w:tc>
      </w:tr>
      <w:tr>
        <w:tc>
          <w:tcPr>
            <w:tcW w:type="dxa" w:w="170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知识资产</w:t>
            </w:r>
          </w:p>
        </w:tc>
        <w:tc>
          <w:tcPr>
            <w:tcW w:type="dxa" w:w="365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26 个结构化诊断规则文件、20 份知识原文样本</w:t>
            </w:r>
          </w:p>
        </w:tc>
        <w:tc>
          <w:tcPr>
            <w:tcW w:type="dxa" w:w="401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作为检索增强和专家经验沉淀的初始资产。</w:t>
            </w:r>
          </w:p>
        </w:tc>
      </w:tr>
      <w:tr>
        <w:tc>
          <w:tcPr>
            <w:tcW w:type="dxa" w:w="170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场景覆盖</w:t>
            </w:r>
          </w:p>
        </w:tc>
        <w:tc>
          <w:tcPr>
            <w:tcW w:type="dxa" w:w="365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3 类典型内核故障知识场景</w:t>
            </w:r>
          </w:p>
        </w:tc>
        <w:tc>
          <w:tcPr>
            <w:tcW w:type="dxa" w:w="401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覆盖 RCU stall、hard lockup、soft lockup 等高频复杂故障方向。</w:t>
            </w:r>
          </w:p>
        </w:tc>
      </w:tr>
      <w:tr>
        <w:tc>
          <w:tcPr>
            <w:tcW w:type="dxa" w:w="170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样例沉淀</w:t>
            </w:r>
          </w:p>
        </w:tc>
        <w:tc>
          <w:tcPr>
            <w:tcW w:type="dxa" w:w="365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3 份历史诊断报告样例</w:t>
            </w:r>
          </w:p>
        </w:tc>
        <w:tc>
          <w:tcPr>
            <w:tcW w:type="dxa" w:w="401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用于报告模板、复盘口径和专家复核流程校准。</w:t>
            </w:r>
          </w:p>
        </w:tc>
      </w:tr>
      <w:tr>
        <w:tc>
          <w:tcPr>
            <w:tcW w:type="dxa" w:w="170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模型上下文</w:t>
            </w:r>
          </w:p>
        </w:tc>
        <w:tc>
          <w:tcPr>
            <w:tcW w:type="dxa" w:w="365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Chat 模式 8192 token；Reasoner 模式 48000 token</w:t>
            </w:r>
          </w:p>
        </w:tc>
        <w:tc>
          <w:tcPr>
            <w:tcW w:type="dxa" w:w="401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支持常规诊断与复杂深度推理的差异化配置。</w:t>
            </w:r>
          </w:p>
        </w:tc>
      </w:tr>
    </w:tbl>
    <w:p>
      <w:pPr>
        <w:pStyle w:val="Heading1"/>
        <w:keepNext/>
        <w:spacing w:before="320" w:after="160"/>
        <w:pBdr>
          <w:bottom w:val="single" w:sz="8" w:space="5" w:color="E87500"/>
        </w:pBdr>
      </w:pPr>
      <w:r>
        <w:rPr>
          <w:rFonts w:ascii="Microsoft YaHei" w:hAnsi="Microsoft YaHei" w:eastAsia="Microsoft YaHei"/>
          <w:b/>
          <w:color w:val="E86F00"/>
          <w:sz w:val="32"/>
        </w:rPr>
        <w:t>一、项目详述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F242A"/>
          <w:sz w:val="21"/>
        </w:rPr>
        <w:t>麒麟•灵眸原生大模型实时智诊平台面向金融行业生产系统高可用、强连续性和快速故障恢复需求，聚焦操作系统内核崩溃、业务异常、系统日志、链路指标、核心转储等多模态诊断场景，建设“感知、推理、取证、验证、报告、沉淀”一体化智能诊断能力。平台以原生大模型为推理核心，以麒麟生态和金融基础设施运维场景为落点，将专家排障经验、系统取证工具和知识库检索能力融合为可执行、可追踪、可复核的智能诊断闭环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F242A"/>
          <w:sz w:val="21"/>
        </w:rPr>
        <w:t>总体思路是将传统依赖专家手工分析的故障诊断流程产品化：首先接入核心转储、符号文件、系统日志和基础环境信息，自动完成输入校验与初始取证；随后由大模型结合上下文生成诊断假设和下一步取证动作；再通过工具协议调用系统级诊断工具获取证据，并持续迭代验证，最终输出包含故障现象、证据链、根因判断、置信度和处置建议的结构化报告。平台不是简单问答系统，而是具备多轮推理、多工具调用和证据闭环能力的实时智诊系统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F242A"/>
          <w:sz w:val="21"/>
        </w:rPr>
        <w:t>技术方案采用分层架构：服务层提供同步分析和流式进度回传能力；智能编排层构建状态图，管理任务上下文、推理轮次、工具结果和终止条件；模型层接入大模型能力，支持复杂故障深度推理；工具层标准化封装系统诊断命令，当前覆盖 26 类系统级取证能力；知识层将历史诊断文档抽取为结构化规则和诊断知识库，支撑检索增强与专家经验复用；报告层自动生成结构化诊断报告，便于归档、复盘和知识沉淀。</w:t>
      </w:r>
    </w:p>
    <w:tbl>
      <w:tblGrid>
        <w:gridCol w:w="2200"/>
        <w:gridCol w:w="71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C75F00"/>
            <w:tcBorders>
              <w:top w:val="single" w:sz="6" w:space="0" w:color="B85C00"/>
              <w:left w:val="single" w:sz="6" w:space="0" w:color="B85C00"/>
              <w:bottom w:val="single" w:sz="6" w:space="0" w:color="B85C00"/>
              <w:right w:val="single" w:sz="6" w:space="0" w:color="B85C00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关键指标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C75F00"/>
            <w:tcBorders>
              <w:top w:val="single" w:sz="6" w:space="0" w:color="B85C00"/>
              <w:left w:val="single" w:sz="6" w:space="0" w:color="B85C00"/>
              <w:bottom w:val="single" w:sz="6" w:space="0" w:color="B85C00"/>
              <w:right w:val="single" w:sz="6" w:space="0" w:color="B85C00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当前能力</w:t>
            </w:r>
          </w:p>
        </w:tc>
      </w:tr>
      <w:tr>
        <w:tc>
          <w:tcPr>
            <w:tcW w:type="dxa" w:w="220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服务接口</w:t>
            </w:r>
          </w:p>
        </w:tc>
        <w:tc>
          <w:tcPr>
            <w:tcW w:type="dxa" w:w="716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支持同步分析接口与流式进度回传接口，适配长任务诊断场景。</w:t>
            </w:r>
          </w:p>
        </w:tc>
      </w:tr>
      <w:tr>
        <w:tc>
          <w:tcPr>
            <w:tcW w:type="dxa" w:w="220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推理闭环</w:t>
            </w:r>
          </w:p>
        </w:tc>
        <w:tc>
          <w:tcPr>
            <w:tcW w:type="dxa" w:w="716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支持约 40 至 50 轮受控推理递归，围绕证据链逐步收敛结论。</w:t>
            </w:r>
          </w:p>
        </w:tc>
      </w:tr>
      <w:tr>
        <w:tc>
          <w:tcPr>
            <w:tcW w:type="dxa" w:w="220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工具能力</w:t>
            </w:r>
          </w:p>
        </w:tc>
        <w:tc>
          <w:tcPr>
            <w:tcW w:type="dxa" w:w="716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封装 26 类系统诊断工具能力，覆盖内核、进程、内存、日志、设备等维度。</w:t>
            </w:r>
          </w:p>
        </w:tc>
      </w:tr>
      <w:tr>
        <w:tc>
          <w:tcPr>
            <w:tcW w:type="dxa" w:w="220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输入对象</w:t>
            </w:r>
          </w:p>
        </w:tc>
        <w:tc>
          <w:tcPr>
            <w:tcW w:type="dxa" w:w="716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支持核心转储、符号文件、系统日志、调试符号等多源输入。</w:t>
            </w:r>
          </w:p>
        </w:tc>
      </w:tr>
      <w:tr>
        <w:tc>
          <w:tcPr>
            <w:tcW w:type="dxa" w:w="220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输出结果</w:t>
            </w:r>
          </w:p>
        </w:tc>
        <w:tc>
          <w:tcPr>
            <w:tcW w:type="dxa" w:w="716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统一返回任务编号、诊断报告、用量统计、错误信息和复核线索。</w:t>
            </w:r>
          </w:p>
        </w:tc>
      </w:tr>
      <w:tr>
        <w:tc>
          <w:tcPr>
            <w:tcW w:type="dxa" w:w="220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知识基础</w:t>
            </w:r>
          </w:p>
        </w:tc>
        <w:tc>
          <w:tcPr>
            <w:tcW w:type="dxa" w:w="716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已形成 26 个结构化规则文件，覆盖 3 类典型内核故障场景。</w:t>
            </w:r>
          </w:p>
        </w:tc>
      </w:tr>
    </w:tbl>
    <w:p>
      <w:pPr>
        <w:pStyle w:val="Heading1"/>
        <w:keepNext/>
        <w:spacing w:before="320" w:after="160"/>
        <w:pBdr>
          <w:bottom w:val="single" w:sz="8" w:space="5" w:color="E87500"/>
        </w:pBdr>
      </w:pPr>
      <w:r>
        <w:rPr>
          <w:rFonts w:ascii="Microsoft YaHei" w:hAnsi="Microsoft YaHei" w:eastAsia="Microsoft YaHei"/>
          <w:b/>
          <w:color w:val="E86F00"/>
          <w:sz w:val="32"/>
        </w:rPr>
        <w:t>二、人才团队情况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F242A"/>
          <w:sz w:val="21"/>
        </w:rPr>
        <w:t>项目团队由系统基础软件、人工智能平台、金融科技运维和安全合规等方向人员组成，具备跨学科协同特征。核心成员覆盖 Linux 内核故障分析、SRE/运维体系建设、大模型应用工程、知识库构建、后端服务架构和金融生产保障等能力，能够同时理解底层系统故障机理、金融业务连续性要求和大模型工程化落地路径。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F242A"/>
          <w:sz w:val="20"/>
        </w:rPr>
        <w:t>基础软件能力：具备系统级故障取证、内核异常分析、符号解析和复杂问题复盘能力。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F242A"/>
          <w:sz w:val="20"/>
        </w:rPr>
        <w:t>大模型工程能力：具备 Agent 编排、工具调用、上下文管理、结构化输出和知识库建设经验。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F242A"/>
          <w:sz w:val="20"/>
        </w:rPr>
        <w:t>金融场景能力：熟悉金融生产系统对稳定性、审计性、安全性和连续性的要求。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F242A"/>
          <w:sz w:val="20"/>
        </w:rPr>
        <w:t>成果基础：项目已形成可运行技术原型，具备申报软件著作权、专利、科技创新奖项和金融科技创新案例的基础；具体获奖与知识产权材料可在后续申报阶段统一补充。</w:t>
      </w:r>
    </w:p>
    <w:p>
      <w:pPr>
        <w:pStyle w:val="Heading1"/>
        <w:keepNext/>
        <w:spacing w:before="320" w:after="160"/>
        <w:pBdr>
          <w:bottom w:val="single" w:sz="8" w:space="5" w:color="E87500"/>
        </w:pBdr>
      </w:pPr>
      <w:r>
        <w:rPr>
          <w:rFonts w:ascii="Microsoft YaHei" w:hAnsi="Microsoft YaHei" w:eastAsia="Microsoft YaHei"/>
          <w:b/>
          <w:color w:val="E86F00"/>
          <w:sz w:val="32"/>
        </w:rPr>
        <w:t>三、先进性和创新点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F242A"/>
          <w:sz w:val="21"/>
        </w:rPr>
        <w:t>本项目的先进性体现在将原生大模型能力从“故障问答”推进到“证据驱动的实时诊断”。当前国内外同类方案多集中在日志检索、告警聚合、异常检测或知识库问答层面，对 Linux 内核崩溃、核心转储、符号解析和复杂系统取证的自动化支持相对有限。麒麟•灵眸通过大模型推理、状态图编排、工具协议和系统诊断工具链结合，使模型能够在受控环境下持续获取证据，而不是仅凭静态上下文生成结论。</w:t>
      </w:r>
    </w:p>
    <w:tbl>
      <w:tblGrid>
        <w:gridCol w:w="1800"/>
        <w:gridCol w:w="3300"/>
        <w:gridCol w:w="42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C75F00"/>
            <w:tcBorders>
              <w:top w:val="single" w:sz="6" w:space="0" w:color="B85C00"/>
              <w:left w:val="single" w:sz="6" w:space="0" w:color="B85C00"/>
              <w:bottom w:val="single" w:sz="6" w:space="0" w:color="B85C00"/>
              <w:right w:val="single" w:sz="6" w:space="0" w:color="B85C00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比较维度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C75F00"/>
            <w:tcBorders>
              <w:top w:val="single" w:sz="6" w:space="0" w:color="B85C00"/>
              <w:left w:val="single" w:sz="6" w:space="0" w:color="B85C00"/>
              <w:bottom w:val="single" w:sz="6" w:space="0" w:color="B85C00"/>
              <w:right w:val="single" w:sz="6" w:space="0" w:color="B85C00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同类常见方案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C75F00"/>
            <w:tcBorders>
              <w:top w:val="single" w:sz="6" w:space="0" w:color="B85C00"/>
              <w:left w:val="single" w:sz="6" w:space="0" w:color="B85C00"/>
              <w:bottom w:val="single" w:sz="6" w:space="0" w:color="B85C00"/>
              <w:right w:val="single" w:sz="6" w:space="0" w:color="B85C00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麒麟•灵眸竞争力</w:t>
            </w:r>
          </w:p>
        </w:tc>
      </w:tr>
      <w:tr>
        <w:tc>
          <w:tcPr>
            <w:tcW w:type="dxa" w:w="180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诊断对象</w:t>
            </w:r>
          </w:p>
        </w:tc>
        <w:tc>
          <w:tcPr>
            <w:tcW w:type="dxa" w:w="330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以日志、告警、指标分析为主</w:t>
            </w:r>
          </w:p>
        </w:tc>
        <w:tc>
          <w:tcPr>
            <w:tcW w:type="dxa" w:w="426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覆盖日志、指标、链路和核心转储等深层故障证据。</w:t>
            </w:r>
          </w:p>
        </w:tc>
      </w:tr>
      <w:tr>
        <w:tc>
          <w:tcPr>
            <w:tcW w:type="dxa" w:w="180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推理方式</w:t>
            </w:r>
          </w:p>
        </w:tc>
        <w:tc>
          <w:tcPr>
            <w:tcW w:type="dxa" w:w="330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偏检索问答或规则匹配</w:t>
            </w:r>
          </w:p>
        </w:tc>
        <w:tc>
          <w:tcPr>
            <w:tcW w:type="dxa" w:w="426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多轮假设生成、工具取证、证据验证和结论收敛。</w:t>
            </w:r>
          </w:p>
        </w:tc>
      </w:tr>
      <w:tr>
        <w:tc>
          <w:tcPr>
            <w:tcW w:type="dxa" w:w="180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可解释性</w:t>
            </w:r>
          </w:p>
        </w:tc>
        <w:tc>
          <w:tcPr>
            <w:tcW w:type="dxa" w:w="330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结论可追溯性有限</w:t>
            </w:r>
          </w:p>
        </w:tc>
        <w:tc>
          <w:tcPr>
            <w:tcW w:type="dxa" w:w="426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报告展示证据链、置信度和复核线索。</w:t>
            </w:r>
          </w:p>
        </w:tc>
      </w:tr>
      <w:tr>
        <w:tc>
          <w:tcPr>
            <w:tcW w:type="dxa" w:w="180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落地适配</w:t>
            </w:r>
          </w:p>
        </w:tc>
        <w:tc>
          <w:tcPr>
            <w:tcW w:type="dxa" w:w="330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偏通用运维平台</w:t>
            </w:r>
          </w:p>
        </w:tc>
        <w:tc>
          <w:tcPr>
            <w:tcW w:type="dxa" w:w="426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面向金融信创和国产基础软件场景设计。</w:t>
            </w:r>
          </w:p>
        </w:tc>
      </w:tr>
    </w:tbl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F242A"/>
          <w:sz w:val="20"/>
        </w:rPr>
        <w:t>创新点一：构建面向金融生产故障的多模态诊断闭环，将告警、日志、指标、链路和核心转储纳入统一分析框架。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F242A"/>
          <w:sz w:val="20"/>
        </w:rPr>
        <w:t>创新点二：采用 Agent 状态图实现“假设生成、工具取证、证据验证、结论收敛”的多轮推理流程。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F242A"/>
          <w:sz w:val="20"/>
        </w:rPr>
        <w:t>创新点三：将系统级诊断命令封装为标准化工具能力，使大模型能够安全调用底层工具完成深度取证。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F242A"/>
          <w:sz w:val="20"/>
        </w:rPr>
        <w:t>创新点四：将专家知识和历史文档抽取为结构化规则，形成可持续演进的诊断知识库。</w:t>
      </w:r>
    </w:p>
    <w:p>
      <w:pPr>
        <w:pStyle w:val="Heading1"/>
        <w:keepNext/>
        <w:spacing w:before="320" w:after="160"/>
        <w:pBdr>
          <w:bottom w:val="single" w:sz="8" w:space="5" w:color="E87500"/>
        </w:pBdr>
      </w:pPr>
      <w:r>
        <w:rPr>
          <w:rFonts w:ascii="Microsoft YaHei" w:hAnsi="Microsoft YaHei" w:eastAsia="Microsoft YaHei"/>
          <w:b/>
          <w:color w:val="E86F00"/>
          <w:sz w:val="32"/>
        </w:rPr>
        <w:t>四、推广应用情况或预期推广应用前景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F242A"/>
          <w:sz w:val="21"/>
        </w:rPr>
        <w:t>项目可优先在银行、证券、保险、支付清算、金融云和大型数据中心等场景推广，用于提升核心业务系统、数据库服务器、虚拟化平台、云原生节点和关键基础设施的故障诊断效率。对于金融机构而言，系统崩溃和复杂内核异常往往影响范围大、恢复窗口短、专家依赖强，平台可作为一线运维、二线专家和应急指挥体系之间的智能辅助能力。</w:t>
      </w:r>
    </w:p>
    <w:tbl>
      <w:tblGrid>
        <w:gridCol w:w="1500"/>
        <w:gridCol w:w="4300"/>
        <w:gridCol w:w="35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C75F00"/>
            <w:tcBorders>
              <w:top w:val="single" w:sz="6" w:space="0" w:color="B85C00"/>
              <w:left w:val="single" w:sz="6" w:space="0" w:color="B85C00"/>
              <w:bottom w:val="single" w:sz="6" w:space="0" w:color="B85C00"/>
              <w:right w:val="single" w:sz="6" w:space="0" w:color="B85C00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C75F00"/>
            <w:tcBorders>
              <w:top w:val="single" w:sz="6" w:space="0" w:color="B85C00"/>
              <w:left w:val="single" w:sz="6" w:space="0" w:color="B85C00"/>
              <w:bottom w:val="single" w:sz="6" w:space="0" w:color="B85C00"/>
              <w:right w:val="single" w:sz="6" w:space="0" w:color="B85C00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推广重点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C75F00"/>
            <w:tcBorders>
              <w:top w:val="single" w:sz="6" w:space="0" w:color="B85C00"/>
              <w:left w:val="single" w:sz="6" w:space="0" w:color="B85C00"/>
              <w:bottom w:val="single" w:sz="6" w:space="0" w:color="B85C00"/>
              <w:right w:val="single" w:sz="6" w:space="0" w:color="B85C00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形成能力</w:t>
            </w:r>
          </w:p>
        </w:tc>
      </w:tr>
      <w:tr>
        <w:tc>
          <w:tcPr>
            <w:tcW w:type="dxa" w:w="150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近期试点</w:t>
            </w:r>
          </w:p>
        </w:tc>
        <w:tc>
          <w:tcPr>
            <w:tcW w:type="dxa" w:w="430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接入核心转储分析、系统日志分析和典型故障知识库。</w:t>
            </w:r>
          </w:p>
        </w:tc>
        <w:tc>
          <w:tcPr>
            <w:tcW w:type="dxa" w:w="356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形成故障输入、自动诊断、报告归档、专家复核的闭环。</w:t>
            </w:r>
          </w:p>
        </w:tc>
      </w:tr>
      <w:tr>
        <w:tc>
          <w:tcPr>
            <w:tcW w:type="dxa" w:w="150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中期扩展</w:t>
            </w:r>
          </w:p>
        </w:tc>
        <w:tc>
          <w:tcPr>
            <w:tcW w:type="dxa" w:w="430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接入监控平台、日志平台、配置管理、工单系统和应急流程。</w:t>
            </w:r>
          </w:p>
        </w:tc>
        <w:tc>
          <w:tcPr>
            <w:tcW w:type="dxa" w:w="356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实现告警到根因报告的联动。</w:t>
            </w:r>
          </w:p>
        </w:tc>
      </w:tr>
      <w:tr>
        <w:tc>
          <w:tcPr>
            <w:tcW w:type="dxa" w:w="150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远期建设</w:t>
            </w:r>
          </w:p>
        </w:tc>
        <w:tc>
          <w:tcPr>
            <w:tcW w:type="dxa" w:w="430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沉淀行业级诊断知识资产，支持跨系统、跨厂商、跨云环境分析。</w:t>
            </w:r>
          </w:p>
        </w:tc>
        <w:tc>
          <w:tcPr>
            <w:tcW w:type="dxa" w:w="356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升级为金融行业多模态实时智诊基础平台。</w:t>
            </w:r>
          </w:p>
        </w:tc>
      </w:tr>
    </w:tbl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F242A"/>
          <w:sz w:val="21"/>
        </w:rPr>
        <w:t>预期推广价值包括：降低对少数内核专家的依赖，缩短重大故障定位时间，提高应急处置标准化程度，增强信创基础设施运行保障能力，并为金融机构建设自主可控、可解释、可审计的智能运维体系提供支撑。</w:t>
      </w:r>
    </w:p>
    <w:p>
      <w:pPr>
        <w:pStyle w:val="Heading1"/>
        <w:keepNext/>
        <w:spacing w:before="320" w:after="160"/>
        <w:pBdr>
          <w:bottom w:val="single" w:sz="8" w:space="5" w:color="E87500"/>
        </w:pBdr>
      </w:pPr>
      <w:r>
        <w:rPr>
          <w:rFonts w:ascii="Microsoft YaHei" w:hAnsi="Microsoft YaHei" w:eastAsia="Microsoft YaHei"/>
          <w:b/>
          <w:color w:val="E86F00"/>
          <w:sz w:val="32"/>
        </w:rPr>
        <w:t>五、经济和社会效益</w:t>
      </w:r>
    </w:p>
    <w:tbl>
      <w:tblGrid>
        <w:gridCol w:w="2200"/>
        <w:gridCol w:w="71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C75F00"/>
            <w:tcBorders>
              <w:top w:val="single" w:sz="6" w:space="0" w:color="B85C00"/>
              <w:left w:val="single" w:sz="6" w:space="0" w:color="B85C00"/>
              <w:bottom w:val="single" w:sz="6" w:space="0" w:color="B85C00"/>
              <w:right w:val="single" w:sz="6" w:space="0" w:color="B85C00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效益类别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C75F00"/>
            <w:tcBorders>
              <w:top w:val="single" w:sz="6" w:space="0" w:color="B85C00"/>
              <w:left w:val="single" w:sz="6" w:space="0" w:color="B85C00"/>
              <w:bottom w:val="single" w:sz="6" w:space="0" w:color="B85C00"/>
              <w:right w:val="single" w:sz="6" w:space="0" w:color="B85C00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预期体现</w:t>
            </w:r>
          </w:p>
        </w:tc>
      </w:tr>
      <w:tr>
        <w:tc>
          <w:tcPr>
            <w:tcW w:type="dxa" w:w="220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降本增效</w:t>
            </w:r>
          </w:p>
        </w:tc>
        <w:tc>
          <w:tcPr>
            <w:tcW w:type="dxa" w:w="716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减少人工反复取证和报告整理时间，降低复杂故障分析的人力成本。</w:t>
            </w:r>
          </w:p>
        </w:tc>
      </w:tr>
      <w:tr>
        <w:tc>
          <w:tcPr>
            <w:tcW w:type="dxa" w:w="220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缩短恢复时间</w:t>
            </w:r>
          </w:p>
        </w:tc>
        <w:tc>
          <w:tcPr>
            <w:tcW w:type="dxa" w:w="716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提升故障定位速度，帮助关键业务系统更快完成应急判断和恢复决策。</w:t>
            </w:r>
          </w:p>
        </w:tc>
      </w:tr>
      <w:tr>
        <w:tc>
          <w:tcPr>
            <w:tcW w:type="dxa" w:w="220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知识沉淀</w:t>
            </w:r>
          </w:p>
        </w:tc>
        <w:tc>
          <w:tcPr>
            <w:tcW w:type="dxa" w:w="716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将专家经验、历史案例和处置路径沉淀为可复用知识资产，降低人员流动风险。</w:t>
            </w:r>
          </w:p>
        </w:tc>
      </w:tr>
      <w:tr>
        <w:tc>
          <w:tcPr>
            <w:tcW w:type="dxa" w:w="220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风险控制</w:t>
            </w:r>
          </w:p>
        </w:tc>
        <w:tc>
          <w:tcPr>
            <w:tcW w:type="dxa" w:w="716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通过证据链、置信度和报告归档增强诊断可解释性，支持审计和复盘。</w:t>
            </w:r>
          </w:p>
        </w:tc>
      </w:tr>
      <w:tr>
        <w:tc>
          <w:tcPr>
            <w:tcW w:type="dxa" w:w="220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信创支撑</w:t>
            </w:r>
          </w:p>
        </w:tc>
        <w:tc>
          <w:tcPr>
            <w:tcW w:type="dxa" w:w="716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服务国产基础软件和金融信创环境，提升自主可控基础设施的运行保障能力。</w:t>
            </w:r>
          </w:p>
        </w:tc>
      </w:tr>
      <w:tr>
        <w:tc>
          <w:tcPr>
            <w:tcW w:type="dxa" w:w="220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社会效益</w:t>
            </w:r>
          </w:p>
        </w:tc>
        <w:tc>
          <w:tcPr>
            <w:tcW w:type="dxa" w:w="716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提升金融基础设施稳定性，降低重大生产故障对客户服务、交易连续性和社会运行的影响。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color w:val="41464E"/>
          <w:sz w:val="26"/>
        </w:rPr>
        <w:t>试点验收建议指标</w:t>
      </w:r>
    </w:p>
    <w:tbl>
      <w:tblGrid>
        <w:gridCol w:w="2100"/>
        <w:gridCol w:w="2500"/>
        <w:gridCol w:w="47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B5563"/>
            <w:tcBorders>
              <w:top w:val="single" w:sz="6" w:space="0" w:color="B85C00"/>
              <w:left w:val="single" w:sz="6" w:space="0" w:color="B85C00"/>
              <w:bottom w:val="single" w:sz="6" w:space="0" w:color="B85C00"/>
              <w:right w:val="single" w:sz="6" w:space="0" w:color="B85C00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B5563"/>
            <w:tcBorders>
              <w:top w:val="single" w:sz="6" w:space="0" w:color="B85C00"/>
              <w:left w:val="single" w:sz="6" w:space="0" w:color="B85C00"/>
              <w:bottom w:val="single" w:sz="6" w:space="0" w:color="B85C00"/>
              <w:right w:val="single" w:sz="6" w:space="0" w:color="B85C00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建议目标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B5563"/>
            <w:tcBorders>
              <w:top w:val="single" w:sz="6" w:space="0" w:color="B85C00"/>
              <w:left w:val="single" w:sz="6" w:space="0" w:color="B85C00"/>
              <w:bottom w:val="single" w:sz="6" w:space="0" w:color="B85C00"/>
              <w:right w:val="single" w:sz="6" w:space="0" w:color="B85C00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10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初诊效率</w:t>
            </w:r>
          </w:p>
        </w:tc>
        <w:tc>
          <w:tcPr>
            <w:tcW w:type="dxa" w:w="250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典型复杂故障初诊时间缩短 30% 至 50%</w:t>
            </w:r>
          </w:p>
        </w:tc>
        <w:tc>
          <w:tcPr>
            <w:tcW w:type="dxa" w:w="476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以人工取证加报告整理时间为基线，对比平台辅助后的首轮根因判断时间。</w:t>
            </w:r>
          </w:p>
        </w:tc>
      </w:tr>
      <w:tr>
        <w:tc>
          <w:tcPr>
            <w:tcW w:type="dxa" w:w="210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报告自动化率</w:t>
            </w:r>
          </w:p>
        </w:tc>
        <w:tc>
          <w:tcPr>
            <w:tcW w:type="dxa" w:w="250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80% 以上诊断报告由平台自动生成初稿</w:t>
            </w:r>
          </w:p>
        </w:tc>
        <w:tc>
          <w:tcPr>
            <w:tcW w:type="dxa" w:w="476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专家保留复核和修订职责，平台承担证据汇总与结构化输出。</w:t>
            </w:r>
          </w:p>
        </w:tc>
      </w:tr>
      <w:tr>
        <w:tc>
          <w:tcPr>
            <w:tcW w:type="dxa" w:w="210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专家复核采纳率</w:t>
            </w:r>
          </w:p>
        </w:tc>
        <w:tc>
          <w:tcPr>
            <w:tcW w:type="dxa" w:w="250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70% 以上报告结论或诊断方向被专家采纳</w:t>
            </w:r>
          </w:p>
        </w:tc>
        <w:tc>
          <w:tcPr>
            <w:tcW w:type="dxa" w:w="476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用于衡量模型推理、工具取证和知识召回的综合有效性。</w:t>
            </w:r>
          </w:p>
        </w:tc>
      </w:tr>
      <w:tr>
        <w:tc>
          <w:tcPr>
            <w:tcW w:type="dxa" w:w="210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知识沉淀效率</w:t>
            </w:r>
          </w:p>
        </w:tc>
        <w:tc>
          <w:tcPr>
            <w:tcW w:type="dxa" w:w="250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每类重点故障形成不少于 10 条可复用规则</w:t>
            </w:r>
          </w:p>
        </w:tc>
        <w:tc>
          <w:tcPr>
            <w:tcW w:type="dxa" w:w="4760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将复盘结论转化为规则、提示词或检索知识，支撑持续迭代。</w:t>
            </w:r>
          </w:p>
        </w:tc>
      </w:tr>
      <w:tr>
        <w:tc>
          <w:tcPr>
            <w:tcW w:type="dxa" w:w="210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应急协同</w:t>
            </w:r>
          </w:p>
        </w:tc>
        <w:tc>
          <w:tcPr>
            <w:tcW w:type="dxa" w:w="250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重大故障形成 1 小时内可共享诊断摘要</w:t>
            </w:r>
          </w:p>
        </w:tc>
        <w:tc>
          <w:tcPr>
            <w:tcW w:type="dxa" w:w="476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42A"/>
                <w:sz w:val="18"/>
              </w:rPr>
              <w:t>面向管理层、应急指挥和二线专家提供统一口径。</w:t>
            </w:r>
          </w:p>
        </w:tc>
      </w:tr>
    </w:tbl>
    <w:tbl>
      <w:tblGrid>
        <w:gridCol w:w="93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  <w:tcBorders>
              <w:top w:val="single" w:sz="8" w:space="0" w:color="F0B36A"/>
              <w:left w:val="single" w:sz="8" w:space="0" w:color="F0B36A"/>
              <w:bottom w:val="single" w:sz="8" w:space="0" w:color="F0B36A"/>
              <w:right w:val="single" w:sz="8" w:space="0" w:color="F0B36A"/>
            </w:tcBorders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E86F00"/>
                <w:sz w:val="22"/>
              </w:rPr>
              <w:t>综合效益判断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F242A"/>
                <w:sz w:val="20"/>
              </w:rPr>
              <w:t>随着知识库积累和场景扩展，平台有望从单点诊断工具升级为企业级智能运维基础平台，持续形成技术成果、知识资产和行业示范效应。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Microsoft YaHei" w:hAnsi="Microsoft YaHei" w:eastAsia="Microsoft YaHei"/>
        <w:color w:val="6D747D"/>
        <w:sz w:val="17"/>
      </w:rPr>
      <w:t>企业内部项目简介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color w:val="6D747D"/>
        <w:sz w:val="17"/>
      </w:rPr>
      <w:t>内部资料｜麒麟•灵眸实时智诊项目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1F24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麒麟•灵眸原生大模型实时智诊平台项目简介</dc:title>
  <dc:subject>企业内部项目简介</dc:subject>
  <dc:creator>项目团队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