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Style2"/>
      </w:pPr>
      <w:r>
        <w:t>申請專利範圍</w:t>
      </w:r>
    </w:p>
    <w:p>
      <w:pPr>
        <w:pStyle w:val="NormalStyle2"/>
        <w:ind w:firstLine="480"/>
      </w:pPr>
      <w:r>
        <w:t>1.一種基於唯讀啟動媒體之邊緣運算執行環境注入、瞬態記憶體調度與執行狀態回滾方法，其特徵在於：包括以下步驟： (a)利用唯讀啟動媒體啟動邊緣節點；(b)從啟動媒體中擷取環境參數；(c)將擷取的環境參數注入至執行環境；(d)於揮發性記憶體配置瞬態 tmpfs I/O 區；(e)在執行環境內運行應用程式並利用前述瞬態 I/O 區進行資料存取；(f)記錄稽核日誌；以及 (g)於執行結束後清除瞬態 I/O 區並回滾系統環境。</w:t>
      </w:r>
    </w:p>
    <w:p>
      <w:pPr>
        <w:pStyle w:val="NormalStyle2"/>
        <w:ind w:firstLine="480"/>
      </w:pPr>
      <w:r>
        <w:t>2.如申請專利範圍第1項所述之方法，其中所述環境參數包括儲存於“user-data”檔案的使用者自訂變數，以及儲存於“global_env.env”與“/etc/taiji_global.env”檔案中的全域環境變數。</w:t>
      </w:r>
    </w:p>
    <w:p>
      <w:pPr>
        <w:pStyle w:val="NormalStyle2"/>
        <w:ind w:firstLine="480"/>
      </w:pPr>
      <w:r>
        <w:t>3.如申請專利範圍第2項所述之方法，其中擷取環境參數的步驟進一步包含讀取“/etc/profile”中的預設系統變數並與前述變數合併。</w:t>
      </w:r>
    </w:p>
    <w:p>
      <w:pPr>
        <w:pStyle w:val="NormalStyle2"/>
        <w:ind w:firstLine="480"/>
      </w:pPr>
      <w:r>
        <w:t>4.如申請專利範圍第1項所述之方法，其中環境注入步驟係透過修改“docker-compose.yml”或其他容器協調檔案以將環境變數配置到待啟動之服務。</w:t>
      </w:r>
    </w:p>
    <w:p>
      <w:pPr>
        <w:pStyle w:val="NormalStyle2"/>
        <w:ind w:firstLine="480"/>
      </w:pPr>
      <w:r>
        <w:t>5.如申請專利範圍第1項所述之方法，其中瞬態 tmpfs I/O 區採用記憶體檔案系統掛載並於執行結束後卸載，用以儲存暫存檔案與輸出，以避免對持久儲存媒體寫入。</w:t>
      </w:r>
    </w:p>
    <w:p>
      <w:pPr>
        <w:pStyle w:val="NormalStyle2"/>
        <w:ind w:firstLine="480"/>
      </w:pPr>
      <w:r>
        <w:t>6.如申請專利範圍第1項所述之方法，其中稽核日誌透過稽核模組寫入“audit log”與“taiji_boot.log”檔案以追蹤環境注入與執行事件。</w:t>
      </w:r>
    </w:p>
    <w:p>
      <w:pPr>
        <w:pStyle w:val="NormalStyle2"/>
        <w:ind w:firstLine="480"/>
      </w:pPr>
      <w:r>
        <w:t>7.如申請專利範圍第1項所述之方法，其中回滾步驟包括關閉運行中的容器、清除 tmpfs 掛載點並將環境變數還原為啟動時的值。</w:t>
      </w:r>
    </w:p>
    <w:p>
      <w:pPr>
        <w:pStyle w:val="NormalStyle2"/>
        <w:ind w:firstLine="480"/>
      </w:pPr>
      <w:r>
        <w:t>8.如申請專利範圍第1項所述之方法，其中在 Windows 平台中進一步執行“Activate.ps1”與“openssl_deactivate.ps1”腳本以初始化與清除環境設定。</w:t>
      </w:r>
    </w:p>
    <w:p>
      <w:pPr>
        <w:pStyle w:val="NormalStyle2"/>
        <w:ind w:firstLine="480"/>
      </w:pPr>
      <w:r>
        <w:t>9.如申請專利範圍第1項所述之方法，其中執行環境包括透過“Caddyfile”配置之服務，該服務依據擷取的環境參數載入配置。</w:t>
      </w:r>
    </w:p>
    <w:p>
      <w:pPr>
        <w:pStyle w:val="NormalStyle2"/>
        <w:ind w:firstLine="480"/>
      </w:pPr>
      <w:r>
        <w:t>10.如申請專利範圍第1項所述之方法，其中唯讀啟動媒體包含啟動腳本“taiji_bootstrap.sh”，該腳本用於完成前述步驟 (b) 至 (g)。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Style2">
    <w:name w:val="HeadingStyle2"/>
    <w:rPr>
      <w:rFonts w:ascii="標楷體" w:hAnsi="標楷體"/>
      <w:b/>
      <w:sz w:val="28"/>
    </w:rPr>
  </w:style>
  <w:style w:type="paragraph" w:customStyle="1" w:styleId="NormalStyle2">
    <w:name w:val="NormalStyle2"/>
    <w:rPr>
      <w:rFonts w:ascii="標楷體" w:hAnsi="標楷體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