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Style3"/>
      </w:pPr>
      <w:r>
        <w:t>摘要</w:t>
      </w:r>
    </w:p>
    <w:p>
      <w:pPr>
        <w:pStyle w:val="NormalStyle3"/>
      </w:pPr>
      <w:r>
        <w:t>本發明公開一種使用唯讀啟動媒體在邊緣運算裝置上注入執行環境的方法。該方法先透過唯讀媒體啟動節點，然後從使用者資料與全域環境設定檔擷取環境變數並合併系統預設值，再將該等變數注入容器化執行環境。系統於記憶體中建立瞬態 tmpfs I/O 區作為工作目錄，應用程式運行期間所有暫存檔與輸出皆寫入此區域，並透過稽核日誌模組記錄注入與執行事件。執行結束後，回滾模組清除 tmpfs 區並還原環境變數，確保啟動媒體及系統狀態未被永久改變。此技術實現了安全、可重複且易於部署的邊緣運算環境，適用於資源受限的裝置。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Style3">
    <w:name w:val="HeadingStyle3"/>
    <w:rPr>
      <w:rFonts w:ascii="標楷體" w:hAnsi="標楷體"/>
      <w:b/>
      <w:sz w:val="28"/>
    </w:rPr>
  </w:style>
  <w:style w:type="paragraph" w:customStyle="1" w:styleId="NormalStyle3">
    <w:name w:val="NormalStyle3"/>
    <w:rPr>
      <w:rFonts w:ascii="標楷體" w:hAnsi="標楷體"/>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