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instrText xml:space="preserve">INCLUDEPICTURE \d "http://images.51cto.com/files/uploadimg/20100519/0947320.jpg"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drawing>
          <wp:inline distT="0" distB="0" distL="114300" distR="114300">
            <wp:extent cx="4743450" cy="36957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end"/>
      </w:r>
    </w:p>
    <w:tbl>
      <w:tblPr>
        <w:tblW w:w="8287" w:type="dxa"/>
        <w:tblCellSpacing w:w="15" w:type="dxa"/>
        <w:tblInd w:w="0" w:type="dxa"/>
        <w:shd w:val="clear" w:color="auto" w:fill="F8F8F8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7397"/>
      </w:tblGrid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常用热键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用途</w:t>
            </w:r>
          </w:p>
        </w:tc>
      </w:tr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显示摘要信息开关.</w:t>
            </w:r>
          </w:p>
        </w:tc>
      </w:tr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显示内存信息开关.</w:t>
            </w:r>
          </w:p>
        </w:tc>
      </w:tr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分类显示系统不同资源的使用大户。有助于快速识别系统中资源消耗多的任务。</w:t>
            </w:r>
          </w:p>
        </w:tc>
      </w:tr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添加删除所要显示栏位.</w:t>
            </w:r>
          </w:p>
        </w:tc>
      </w:tr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调整所要显示栏位的顺序.</w:t>
            </w:r>
          </w:p>
        </w:tc>
      </w:tr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调整一个正在运行的进程Nice值.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结束一个正在运行的进程.</w:t>
            </w:r>
          </w:p>
        </w:tc>
      </w:tr>
      <w:tr>
        <w:tblPrEx>
          <w:shd w:val="clear" w:color="auto" w:fill="F8F8F8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735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彩色/黑白显示开关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一、相关设定默认值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全局</w:t>
      </w:r>
    </w:p>
    <w:tbl>
      <w:tblPr>
        <w:tblW w:w="712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6"/>
        <w:gridCol w:w="212"/>
        <w:gridCol w:w="4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16" w:type="dxa"/>
            <w:shd w:val="clear" w:color="auto" w:fill="F8F8F8"/>
            <w:vAlign w:val="center"/>
          </w:tcPr>
          <w:tbl>
            <w:tblPr>
              <w:tblW w:w="2515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2515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'A' - 交替显示模式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* 'd' - 刷新时间间隔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'I' - Irix mode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* 'p' - 监控特定PID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* 's' - 安全模式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'B' - 粗体显示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12" w:type="dxa"/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93" w:type="dxa"/>
            <w:shd w:val="clear" w:color="auto" w:fill="F8F8F8"/>
            <w:vAlign w:val="center"/>
          </w:tcPr>
          <w:tbl>
            <w:tblPr>
              <w:tblW w:w="4392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9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392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 (默认为全屏显示，On时交替显示)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3.0秒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摘要区</w:t>
      </w:r>
    </w:p>
    <w:tbl>
      <w:tblPr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6"/>
        <w:gridCol w:w="212"/>
        <w:gridCol w:w="4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36" w:type="dxa"/>
            <w:shd w:val="clear" w:color="auto" w:fill="F8F8F8"/>
            <w:vAlign w:val="center"/>
          </w:tcPr>
          <w:tbl>
            <w:tblPr>
              <w:tblW w:w="3136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136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'l'- 平均负载及系统运行时间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't'- 任务及CPU状态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'm'- 内存及交换空间状态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'1'- 单CPU显示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12" w:type="dxa"/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57" w:type="dxa"/>
            <w:shd w:val="clear" w:color="auto" w:fill="F8F8F8"/>
            <w:vAlign w:val="center"/>
          </w:tcPr>
          <w:tbl>
            <w:tblPr>
              <w:tblW w:w="4957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5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957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 (如果为系统包含多处理器，只显示在一行中)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任务区域</w:t>
      </w:r>
    </w:p>
    <w:tbl>
      <w:tblPr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7"/>
        <w:gridCol w:w="212"/>
        <w:gridCol w:w="4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47" w:type="dxa"/>
            <w:shd w:val="clear" w:color="auto" w:fill="F8F8F8"/>
            <w:vAlign w:val="center"/>
          </w:tcPr>
          <w:tbl>
            <w:tblPr>
              <w:tblW w:w="3347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4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47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'b'- 黑体/反色显示高亮的行/列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* 'c'- 任务执行的命令行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* 'H'- 显示线程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* 'i'- 空闲任务显示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'R'- 反序显示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* 'S'- 累计时间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'x'- 高亮显示排序的列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'y'- 高亮显示正在运行的任务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'z'- 彩色/黑白显示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12" w:type="dxa"/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746" w:type="dxa"/>
            <w:shd w:val="clear" w:color="auto" w:fill="F8F8F8"/>
            <w:vAlign w:val="center"/>
          </w:tcPr>
          <w:tbl>
            <w:tblPr>
              <w:tblW w:w="4746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7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4746" w:type="dxa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 (off)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 (只显示任务名称，不显示任务全格式信息)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On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50" w:beforeAutospacing="0" w:after="150" w:afterAutospacing="0"/>
                    <w:ind w:left="0" w:right="0" w:firstLine="420"/>
                    <w:rPr>
                      <w:color w:val="333333"/>
                    </w:rPr>
                  </w:pPr>
                  <w:r>
                    <w:rPr>
                      <w:color w:val="333333"/>
                      <w:bdr w:val="none" w:color="auto" w:sz="0" w:space="0"/>
                    </w:rPr>
                    <w:t>Off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注：*标示的设定，可以在启动top时，使用命令行参数覆盖指定参数值。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二、命令行启动参数：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用法: top -hv | -bcisSHM -d delay -n iterations [-u user | -U user] -p pid [,pid ...]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-b : 批次模式运行。通常用作来将top的输出的结果传送给其他程式或储存成文件。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-c : 显示执行任务的命令行。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-d : 设定延迟时间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-h : 帮助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-H : 显示线程。当这个设定开启时，将显示所有进程产生的线程。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-i : 显示空闲的进程。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-n : 执行次数。一般与-b搭配使用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-u : 监控指定用户相关进程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-U : 监控指定用户相关进程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-p : 监控指定的进程。当监控多个进程时，进程ID以逗号分隔。这个选项只能在命令行下使用。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-s : 安全模式操作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-S : 累计时间模式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-v : 显示top版本，然后退出。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-M : 自动显示内存单位（k/M/G）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三、栏位信息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在top中，分别使用26个英文字母对应进程相关信息栏位。可已通过f来添加或移除指定的栏位，通过o来调整对栏位显示顺序。下面我们针对这些栏位进行说明。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a: PID (Process Id):任务的进程ID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b: PPID (Parent Process Pid):父任务的进程ID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c: RUSER (Real User Name):任务的所有者真实名称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d: UID (User Id):任务所有者ID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e: USER (User Name):任务所有者名称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f: GROUP (Group Name):任务所有者群组名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g: TTY (Controlling Tty):终端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h: PR (Priority):优先级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i: NI (Nice value):Nice值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j: P (Last used CPU (SMP)):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k: %CPU (CPU usage):CPU使用率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l: TIME (CPU Time):CPU时间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m: TIME+ (CPU Time, hundredths):CPU时间，精确到秒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n: %MEM (Memory usage (RES)):内存使用率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o: VIRT (Virtual Image (kb)):虚拟内存。VIRT = SWAP + RES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p: SWAP (Swapped size (kb)):交换空间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q: RES (Resident size (kb)):常驻内存。RES = CODE + 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r: CODE (Code size (kb)):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s: DATA (Data+Stack size (kb)):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t: SHR (Shared Mem size (kb)):共享内存。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u: nFLT (Page Fault count):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v: nDRT (Dirty Pages count):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w: S (Process Status):进程状态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分别有以下几种：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D = uninterruptible sleep = 不可被唤醒睡眠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R = running = 正在运行中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S = sleeping = 睡眠状态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T = traced or stopped = 出错或停止状态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Z = zombie = 僵尸状态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x: Command (Command line or Program name):进程名或命令行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y: WCHAN (Sleeping in Function):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z: Flags (Task Flags):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示例1：增加和移除进程信息栏位（输入f）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instrText xml:space="preserve">INCLUDEPICTURE \d "http://images.51cto.com/files/uploadimg/20100519/0947321.jpg"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drawing>
          <wp:inline distT="0" distB="0" distL="114300" distR="114300">
            <wp:extent cx="4743450" cy="37242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示例2：调整进程信息栏位显示顺序（输入o）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instrText xml:space="preserve">INCLUDEPICTURE \d "http://images.51cto.com/files/uploadimg/20100519/0947322.jpg"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drawing>
          <wp:inline distT="0" distB="0" distL="114300" distR="114300">
            <wp:extent cx="4743450" cy="37242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四、交互命令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1.全局命令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回车、空格 : 刷新显示信息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?、h : 帮助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= : 移除所有任务显示的限制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A : 交替显示模式切换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B : 粗体显示切换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d、s : 更改界面刷新时间间隔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G : 选择其它窗口/栏位组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I : Irix或Solaris模式切换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u、U : 监控指定用户相关进程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k : 结束进程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q : 退出top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r : 重新设定进程的nice值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W : 存储当前设定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Z : 改变颜色模板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2.摘要区命令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l : 平均负载及系统运行时间显示开关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m : 内存及交换空间使用率显示开关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t : 当前任务及CPU状态显示开关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1 : 汇总显示CPU状态或分开显示每个CPU状态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3.任务区命令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外观样式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b : 黑体/反色显示高亮的行/列。控制x和y交互命令的顯示樣式。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x : 高亮显示排序的列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y : 高亮显示正在运行的任务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z : 彩色/黑白显示。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显示内容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c : 任务执行的命令行或进程名称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f、o : 增加和移除进程信息栏位及调整进程信息栏位显示顺序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H : 显示线程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S : 时间累计模式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u : 监控指定用户相关进程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任务显示的数量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i : 显示空闲的进程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n或# : 设置任务显示最大数量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任务排序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M : 按内存使用率排序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N : 按PID排序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P : 按CPU使用率排序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T : 按Time+排序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&lt; : 按当前排序栏位左边相邻栏位排序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&gt; : 按当前排序栏位右边相邻栏位排序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F 或 O : 选择排序栏位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</w:rPr>
        <w:t>R : 反向排序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224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.51cto.com/files/uploadimg/20100519/0947322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images.51cto.com/files/uploadimg/20100519/0947321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images.51cto.com/files/uploadimg/20100519/0947320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2016-04-14T08:28:12Z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