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用户积分计算规则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存款类 活期储蓄 活期 活期月均额       10,000元  287分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借记卡客户 存款类 整存整取 三个月 定期月均额       10,000  164 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借记卡客户 存款类 整存整取 六个月 定期月均额       10,000  153 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借记卡客户 存款类 整存整取 一年   定期月均额       10,000  283 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借记卡客户 存款类 整存整取 二年   定期月均额       10,000  146 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借记卡客户 存款类 整存整取 三年   定期月均额       10,000  164 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借记卡客户 存款类 整存整取 五年   定期月均额       10,000  183 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中信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购买定期产品的月均余额，每200元积1分，按月累积；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存款的月均余额，每25元积1分，</w:t>
      </w:r>
      <w:bookmarkStart w:id="0" w:name="_GoBack"/>
      <w:bookmarkEnd w:id="0"/>
      <w:r>
        <w:rPr>
          <w:rFonts w:hint="eastAsia"/>
          <w:lang w:val="en-US" w:eastAsia="zh-CN"/>
        </w:rPr>
        <w:t>按月累积；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开通网银、晋享生活、三方支付绑定等业务一次性赠送1500积分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3BF4"/>
    <w:multiLevelType w:val="singleLevel"/>
    <w:tmpl w:val="2EEC3B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E648C"/>
    <w:rsid w:val="38441BF1"/>
    <w:rsid w:val="69D5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2019-12-04T11:04:05Z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