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Microsoft YaHei"/>
          <w:b/>
          <w:color w:val="7A5A00"/>
          <w:sz w:val="21"/>
        </w:rPr>
        <w:t>项目交付与部署手册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6"/>
        </w:rPr>
        <w:t>青藏高原科考滑轨屏</w:t>
      </w:r>
    </w:p>
    <w:p>
      <w:pPr>
        <w:spacing w:after="400"/>
      </w:pPr>
      <w:r>
        <w:rPr>
          <w:rFonts w:ascii="Calibri" w:hAnsi="Calibri" w:eastAsia="Microsoft YaHei"/>
          <w:color w:val="555555"/>
          <w:sz w:val="30"/>
        </w:rPr>
        <w:t>WakeFusion 数字人接入与部署交接手册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55555"/>
                <w:sz w:val="17"/>
              </w:rPr>
              <w:t>交付应用</w:t>
              <w:br/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青藏高原科考滑轨屏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55555"/>
                <w:sz w:val="17"/>
              </w:rPr>
              <w:t>协议版本</w:t>
              <w:br/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wakefusion.embedded-app/v1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55555"/>
                <w:sz w:val="17"/>
              </w:rPr>
              <w:t>应用 ID</w:t>
              <w:br/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cdut-slider-screen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55555"/>
                <w:sz w:val="17"/>
              </w:rPr>
              <w:t>交付日期</w:t>
              <w:br/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2026-09-03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唯一交付依据  </w:t>
            </w:r>
            <w:r>
              <w:rPr>
                <w:rFonts w:ascii="Calibri" w:hAnsi="Calibri" w:eastAsia="Microsoft YaHei"/>
                <w:color w:val="0B2545"/>
                <w:sz w:val="20"/>
              </w:rPr>
              <w:t>请使用本手册和“WakeFusion青藏高原科考滑轨屏应用包-Token版-20260903-更新版.zip”。此前的接入说明、旧应用包及旧部署步骤均不再作为交付依据。</w:t>
            </w:r>
          </w:p>
        </w:tc>
      </w:tr>
    </w:tbl>
    <w:p>
      <w:pPr>
        <w:spacing w:after="40"/>
      </w:pPr>
    </w:p>
    <w:p>
      <w:pPr>
        <w:pStyle w:val="Heading1"/>
      </w:pPr>
      <w:r>
        <w:t>1. 交付内容与职责</w:t>
      </w:r>
    </w:p>
    <w:p>
      <w:pPr>
        <w:pStyle w:val="ListBullet"/>
        <w:spacing w:after="80" w:line="300" w:lineRule="auto"/>
      </w:pPr>
      <w:r>
        <w:t>数字人团队接收应用包，将其中的 app 目录部署到 WakeFusion Host 根目录；无需修改或重新编译 Host。</w:t>
      </w:r>
    </w:p>
    <w:p>
      <w:pPr>
        <w:pStyle w:val="ListBullet"/>
        <w:spacing w:after="80" w:line="300" w:lineRule="auto"/>
      </w:pPr>
      <w:r>
        <w:t>Host 负责生成并通过进程环境变量传入 WAKEFUSION_APP_TOKEN，随后按标准接口发现动作并供数字人调用。</w:t>
      </w:r>
    </w:p>
    <w:p>
      <w:pPr>
        <w:pStyle w:val="ListBullet"/>
        <w:spacing w:after="80" w:line="300" w:lineRule="auto"/>
      </w:pPr>
      <w:r>
        <w:t>滑轨屏应用负责页面、视频播控、点位配置、动作白名单和电机通讯；底层控制器 IP、端口、坐标及协议不向数字人接口暴露。</w:t>
      </w:r>
    </w:p>
    <w:p>
      <w:pPr>
        <w:pStyle w:val="ListBullet"/>
        <w:spacing w:after="80" w:line="300" w:lineRule="auto"/>
      </w:pPr>
      <w:r>
        <w:t>现场机械调试由项目实施人员负责。首次接入必须保持模拟模式，不得把数字人联调直接用于真实滑轨试运行。</w:t>
      </w:r>
    </w:p>
    <w:p>
      <w:pPr>
        <w:pStyle w:val="Heading1"/>
      </w:pPr>
      <w:r>
        <w:t>2. 部署步骤</w:t>
      </w:r>
    </w:p>
    <w:p>
      <w:pPr>
        <w:pStyle w:val="ListNumber"/>
        <w:spacing w:after="80" w:line="300" w:lineRule="auto"/>
      </w:pPr>
      <w:r>
        <w:t>在部署电脑上停止 WakeFusion Host。确认 Host 主程序所在目录可写，且同一时间只承载一个业务应用。</w:t>
      </w:r>
    </w:p>
    <w:p>
      <w:pPr>
        <w:pStyle w:val="ListNumber"/>
        <w:spacing w:after="80" w:line="300" w:lineRule="auto"/>
      </w:pPr>
      <w:r>
        <w:t>解压“WakeFusion青藏高原科考滑轨屏应用包-Token版-20260903-更新版.zip”。将解压得到的 app 文件夹整体放置到 Host 根目录；如已有 app，先由现场人员备份，再整体替换。</w:t>
      </w:r>
    </w:p>
    <w:p>
      <w:pPr>
        <w:pStyle w:val="ListNumber"/>
        <w:spacing w:after="80" w:line="300" w:lineRule="auto"/>
      </w:pPr>
      <w:r>
        <w:t>检查目录结构。app.json 和 start.bat 必须位于 app 根目录，runtime 不得改名、拆分或移动。</w:t>
      </w:r>
    </w:p>
    <w:p>
      <w:pPr>
        <w:pStyle w:val="ListNumber"/>
        <w:spacing w:after="80" w:line="300" w:lineRule="auto"/>
      </w:pPr>
      <w:r>
        <w:t>启动 WakeFusion Host。Host 会先探测页面；页面未启动时会隐藏运行 app\start.bat，并在健康检查成功后加载页面。无需另开浏览器、无需安装 Tauri、无需手工启动 EXE。</w:t>
      </w:r>
    </w:p>
    <w:p>
      <w:pPr>
        <w:pStyle w:val="ListNumber"/>
        <w:spacing w:after="80" w:line="300" w:lineRule="auto"/>
      </w:pPr>
      <w:r>
        <w:t>Host 将自己的 WAKEFUSION_APP_TOKEN 传给应用，并用同一 Token 调用 V1 接口。Token 不应写入 app.json、前端、配置文件或交接群消息。</w:t>
      </w:r>
    </w:p>
    <w:p>
      <w:pPr>
        <w:pStyle w:val="ListNumber"/>
        <w:spacing w:after="80" w:line="300" w:lineRule="auto"/>
      </w:pPr>
      <w:r>
        <w:t>在 Host 内确认页面、数字人叠层和动作目录均已加载；再按第 5 节进行联调验收。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固定目录  </w:t>
            </w:r>
            <w:r>
              <w:rPr>
                <w:rFonts w:ascii="Calibri" w:hAnsi="Calibri" w:eastAsia="Microsoft YaHei"/>
                <w:color w:val="0B2545"/>
                <w:sz w:val="20"/>
              </w:rPr>
              <w:t>&lt;WakeFusion Host目录&gt;\app\app.json、&lt;WakeFusion Host目录&gt;\app\start.bat 和 &lt;WakeFusion Host目录&gt;\app\runtime\ 必须保持此层级。</w:t>
            </w:r>
          </w:p>
        </w:tc>
      </w:tr>
    </w:tbl>
    <w:p>
      <w:pPr>
        <w:spacing w:after="40"/>
      </w:pPr>
    </w:p>
    <w:p>
      <w:pPr>
        <w:pStyle w:val="Heading1"/>
      </w:pPr>
      <w:r>
        <w:t>3. 页面嵌入与标准接口</w:t>
      </w:r>
    </w:p>
    <w:p>
      <w:pPr>
        <w:pStyle w:val="ListBullet"/>
        <w:spacing w:after="80" w:line="300" w:lineRule="auto"/>
      </w:pPr>
      <w:r>
        <w:t>嵌入页面： http://127.0.0.1:8000/?embed=1&amp;avatarAnchor=right。该地址仅在部署 Host 的本机有效，不是公网链接。</w:t>
      </w:r>
    </w:p>
    <w:p>
      <w:pPr>
        <w:pStyle w:val="ListBullet"/>
        <w:spacing w:after="80" w:line="300" w:lineRule="auto"/>
      </w:pPr>
      <w:r>
        <w:t>嵌入模式会隐藏本页玩偶、管理员入口和页面全屏按钮，并在右侧预留数字人安全区；页面仍支持触控、视频控制和左右滑动切换。</w:t>
      </w:r>
    </w:p>
    <w:p>
      <w:pPr>
        <w:pStyle w:val="ListBullet"/>
        <w:spacing w:after="80" w:line="300" w:lineRule="auto"/>
      </w:pPr>
      <w:r>
        <w:t>服务仅监听 127.0.0.1:8000；数字人 Host 和应用部署在同一台电脑时可访问，局域网其他设备不能直接调用。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3760"/>
        <w:gridCol w:w="2200"/>
        <w:gridCol w:w="24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Host 要求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GET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/api/wakefusion/v1/health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启动健康检查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ready=true 后加载页面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GET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/api/wakefusion/v1/status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读取当前页面与播放状态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用于状态同步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GET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/api/wakefusion/v1/actions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读取动作目录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依据 revision 自动刷新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POST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/api/wakefusion/v1/actions/{index}/execute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执行指定动作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携带 Idempotency-Key；写操作不自动重试</w:t>
            </w:r>
          </w:p>
        </w:tc>
      </w:tr>
    </w:tbl>
    <w:p>
      <w:pPr/>
      <w:r>
        <w:t>四个接口均需请求头 Authorization: Bearer &lt;WAKEFUSION_APP_TOKEN&gt;。Token 缺失或不匹配将返回 401 / auth_failed。</w:t>
      </w:r>
    </w:p>
    <w:p>
      <w:pPr>
        <w:pStyle w:val="Heading1"/>
      </w:pPr>
      <w:r>
        <w:t>4. 数字人可调用动作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550"/>
        <w:gridCol w:w="4400"/>
        <w:gridCol w:w="27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索引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用户可感知结果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高原启程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切换到第一展项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对应 p01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地质巡测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切换到第二展项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对应 p02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冰川源区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切换到第三展项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对应 p03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高原守望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切换到第四展项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对应 p04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播放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播放当前展项视频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不改变点位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暂停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暂停当前视频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不改变点位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停止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停止视频并回到开头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不改变点位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返回首页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停止巡展并返回机械原点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涉及机械动作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开始自动巡展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按顺序自动切换展项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涉及机械动作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停止自动巡展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停止巡展并保持当前展项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不改变当前位置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动作变更规则  </w:t>
            </w:r>
            <w:r>
              <w:rPr>
                <w:rFonts w:ascii="Calibri" w:hAnsi="Calibri" w:eastAsia="Microsoft YaHei"/>
                <w:color w:val="0B2545"/>
                <w:sz w:val="20"/>
              </w:rPr>
              <w:t>可调整动作名称、说明和关键词；修改后必须同步更新 wakefusion.json 中的 revision。已发布索引不得改变含义，新增能力请使用新的正整数索引。</w:t>
            </w:r>
          </w:p>
        </w:tc>
      </w:tr>
    </w:tbl>
    <w:p>
      <w:pPr>
        <w:spacing w:after="40"/>
      </w:pPr>
    </w:p>
    <w:p>
      <w:pPr>
        <w:pStyle w:val="Heading1"/>
      </w:pPr>
      <w:r>
        <w:t>5. 联调与验收</w:t>
      </w:r>
    </w:p>
    <w:p>
      <w:pPr>
        <w:pStyle w:val="Heading2"/>
      </w:pPr>
      <w:r>
        <w:t>5.1 数字人团队验收</w:t>
      </w:r>
    </w:p>
    <w:p>
      <w:pPr>
        <w:pStyle w:val="ListBullet"/>
        <w:spacing w:after="80" w:line="300" w:lineRule="auto"/>
      </w:pPr>
      <w:r>
        <w:t>启动 Host 后，应用能在 30 秒内被自动拉起，健康接口返回 ok=true、ready=true。</w:t>
      </w:r>
    </w:p>
    <w:p>
      <w:pPr>
        <w:pStyle w:val="ListBullet"/>
        <w:spacing w:after="80" w:line="300" w:lineRule="auto"/>
      </w:pPr>
      <w:r>
        <w:t>数字人叠层位于右侧，页面关键内容、底部点位导航与触控按钮未被遮挡。</w:t>
      </w:r>
    </w:p>
    <w:p>
      <w:pPr>
        <w:pStyle w:val="ListBullet"/>
        <w:spacing w:after="80" w:line="300" w:lineRule="auto"/>
      </w:pPr>
      <w:r>
        <w:t>Host 已自动加载 1 至 10 号动作；数字人只通过 index 调用，不需要知道 IP、端口、坐标或原始报文。</w:t>
      </w:r>
    </w:p>
    <w:p>
      <w:pPr>
        <w:pStyle w:val="ListBullet"/>
        <w:spacing w:after="80" w:line="300" w:lineRule="auto"/>
      </w:pPr>
      <w:r>
        <w:t>执行播放、暂停、停止动作后，页面媒体状态正确变化；执行展项动作后，页面切换到对应展项。</w:t>
      </w:r>
    </w:p>
    <w:p>
      <w:pPr>
        <w:pStyle w:val="ListBullet"/>
        <w:spacing w:after="80" w:line="300" w:lineRule="auto"/>
      </w:pPr>
      <w:r>
        <w:t>重复相同 Idempotency-Key 不会重复执行副作用；动作失败时数字人展示接口返回的 message。</w:t>
      </w:r>
    </w:p>
    <w:p>
      <w:pPr>
        <w:pStyle w:val="Heading2"/>
      </w:pPr>
      <w:r>
        <w:t>5.2 现场机械启用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安全前提  </w:t>
            </w:r>
            <w:r>
              <w:rPr>
                <w:rFonts w:ascii="Calibri" w:hAnsi="Calibri" w:eastAsia="Microsoft YaHei"/>
                <w:color w:val="0B2545"/>
                <w:sz w:val="20"/>
              </w:rPr>
              <w:t>交付包默认 machine.json 使用 provider: mock。模拟模式可完整验证数字人、页面和动作接口，但不会驱动滑轨。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</w:pPr>
      <w:r>
        <w:t>完成页面和数字人模拟联调后，由项目实施人员确认急停、限位、运行方向、原点和现场净空。</w:t>
      </w:r>
    </w:p>
    <w:p>
      <w:pPr>
        <w:pStyle w:val="ListNumber"/>
        <w:spacing w:after="80" w:line="300" w:lineRule="auto"/>
      </w:pPr>
      <w:r>
        <w:t>仅在控制器网络、通讯协议及安全条件确认后，将 runtime\config\machine.json 的 provider 改为 tcp；按现场参数填写控制器网络配置。</w:t>
      </w:r>
    </w:p>
    <w:p>
      <w:pPr>
        <w:pStyle w:val="ListNumber"/>
        <w:spacing w:after="80" w:line="300" w:lineRule="auto"/>
      </w:pPr>
      <w:r>
        <w:t>重启 WakeFusion Host，使服务读取新的运行时配置。先做低风险的单点位测试，再验证四个点位、回原点和自动巡展。</w:t>
      </w:r>
    </w:p>
    <w:p>
      <w:pPr>
        <w:pStyle w:val="ListNumber"/>
        <w:spacing w:after="80" w:line="300" w:lineRule="auto"/>
      </w:pPr>
      <w:r>
        <w:t>机械运动未确认前，不允许把数字人语音命令用于真实移动。联调人员应能随时通过现场急停或厂家规定的安全方式中断。</w:t>
      </w:r>
    </w:p>
    <w:p>
      <w:pPr>
        <w:pStyle w:val="Heading1"/>
      </w:pPr>
      <w:r>
        <w:t>6. 现场可配置项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可修改内容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runtime\config\app.json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标题、主题文字、按钮名称、品牌与玩偶素材路径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修改后在管理员面板重新加载配置或重启 Host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runtime\config\scenes.json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视频文件、海报、展项标题与介绍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视频放入 runtime\content\videos 后更新对应路径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runtime\config\points.json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点位名称、展项绑定与坐标逻辑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机械调试完成后由实施人员维护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runtime\config\wakefusion.json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数字人动作名称、说明、关键词及 revision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不要重排或复用已发布 index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runtime\config\machine.json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模拟/真实通讯模式及控制器网络参数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仅现场机械负责人修改</w:t>
            </w:r>
          </w:p>
        </w:tc>
      </w:tr>
    </w:tbl>
    <w:p>
      <w:pPr>
        <w:pStyle w:val="Heading1"/>
      </w:pPr>
      <w:r>
        <w:t>7. 常见问题排查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优先检查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Host 未加载页面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app 目录层级、app.json 编码、start.bat 是否存在；查看 Host 是否已在 30 秒内拉起应用。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健康检查 401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确认 Host 正确传入 WAKEFUSION_APP_TOKEN，且请求携带 Bearer Token；不要手工把 Token 写入文件。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数字人没有动作工具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检查页面 metadata、health 是否 ready=true、actions 接口是否授权成功且含有效 revision。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页面正常但滑轨不动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确认当前仍非 mock；真实模式下核对现场通讯、控制器状态、限位和安全条件。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动作名称修改后未生效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更新 wakefusion.json 的 revision 后在管理员面板重新加载配置，等待 Host 轮询刷新动作目录。</w:t>
            </w:r>
          </w:p>
        </w:tc>
      </w:tr>
    </w:tbl>
    <w:p>
      <w:pPr>
        <w:pStyle w:val="Heading1"/>
      </w:pPr>
      <w:r>
        <w:t>8. 交付结论</w:t>
      </w:r>
    </w:p>
    <w:p>
      <w:pPr>
        <w:spacing w:after="0"/>
      </w:pPr>
      <w:r>
        <w:rPr>
          <w:rFonts w:ascii="Calibri" w:hAnsi="Calibri" w:eastAsia="Microsoft YaHei"/>
          <w:b/>
          <w:color w:val="0B2545"/>
          <w:sz w:val="21"/>
        </w:rPr>
        <w:t>本应用已按 WakeFusion 嵌入应用 V1 完成 Web 服务接入。数字人团队只需替换 app 目录、启动 Host 并完成标准动作验收；无需 Tauri 打包、无需改造 Host、无需接触滑轨底层参数。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55555"/>
        <w:sz w:val="17"/>
      </w:rPr>
      <w:t xml:space="preserve">青藏高原科考滑轨屏  |  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5555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55555"/>
        <w:sz w:val="17"/>
      </w:rPr>
      <w:t>CDUT | WakeFusion 数字人集成交接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青藏高原科考滑轨屏 - WakeFusion 数字人接入与部署交接手册</dc:title>
  <dc:subject>WakeFusion V1 集成、部署和验收</dc:subject>
  <dc:creator>成都理工大学校史馆项目</dc:creator>
  <cp:keywords/>
  <dc:description>唯一交付依据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