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1C3" w:rsidRPr="00D071FF" w:rsidRDefault="00DB4FE4" w:rsidP="003B41C3">
      <w:pPr>
        <w:jc w:val="center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知識網格元件編寫</w:t>
      </w:r>
    </w:p>
    <w:p w:rsidR="009A0698" w:rsidRPr="00D071FF" w:rsidRDefault="00D071FF" w:rsidP="00D071FF">
      <w:pPr>
        <w:wordWrap w:val="0"/>
        <w:jc w:val="right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Ver. </w:t>
      </w:r>
      <w:r>
        <w:rPr>
          <w:rFonts w:ascii="Times New Roman" w:eastAsia="標楷體" w:hAnsi="Times New Roman" w:cs="Times New Roman" w:hint="eastAsia"/>
          <w:szCs w:val="24"/>
        </w:rPr>
        <w:t>0</w:t>
      </w:r>
      <w:r w:rsidR="00DB4FE4">
        <w:rPr>
          <w:rFonts w:ascii="Times New Roman" w:eastAsia="標楷體" w:hAnsi="Times New Roman" w:cs="Times New Roman"/>
          <w:szCs w:val="24"/>
        </w:rPr>
        <w:t>.</w:t>
      </w:r>
      <w:r w:rsidR="00DB4FE4">
        <w:rPr>
          <w:rFonts w:ascii="Times New Roman" w:eastAsia="標楷體" w:hAnsi="Times New Roman" w:cs="Times New Roman" w:hint="eastAsia"/>
          <w:szCs w:val="24"/>
        </w:rPr>
        <w:t>1</w:t>
      </w:r>
      <w:r w:rsidR="00DB4FE4">
        <w:rPr>
          <w:rFonts w:ascii="Times New Roman" w:eastAsia="標楷體" w:hAnsi="Times New Roman" w:cs="Times New Roman"/>
          <w:szCs w:val="24"/>
        </w:rPr>
        <w:t xml:space="preserve"> 2018.01.xx</w:t>
      </w:r>
    </w:p>
    <w:p w:rsidR="00D071FF" w:rsidRPr="00D071FF" w:rsidRDefault="00D071FF" w:rsidP="003B41C3">
      <w:pPr>
        <w:jc w:val="center"/>
        <w:rPr>
          <w:rFonts w:ascii="Times New Roman" w:eastAsia="標楷體" w:hAnsi="Times New Roman" w:cs="Times New Roman"/>
          <w:szCs w:val="24"/>
        </w:rPr>
      </w:pPr>
      <w:r w:rsidRPr="00D071FF">
        <w:rPr>
          <w:rFonts w:ascii="Times New Roman" w:eastAsia="標楷體" w:hAnsi="Times New Roman" w:cs="Times New Roman"/>
          <w:szCs w:val="24"/>
        </w:rPr>
        <w:t>wucy1 @ github</w:t>
      </w:r>
    </w:p>
    <w:p w:rsidR="00D071FF" w:rsidRPr="00D071FF" w:rsidRDefault="00D071FF" w:rsidP="003B41C3">
      <w:pPr>
        <w:jc w:val="center"/>
        <w:rPr>
          <w:rFonts w:ascii="Times New Roman" w:eastAsia="標楷體" w:hAnsi="Times New Roman" w:cs="Times New Roman"/>
          <w:szCs w:val="24"/>
        </w:rPr>
      </w:pPr>
    </w:p>
    <w:p w:rsidR="00AA11F4" w:rsidRDefault="00C72B31" w:rsidP="00DB4FE4">
      <w:pPr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一、</w:t>
      </w:r>
      <w:r w:rsidR="00DB4FE4">
        <w:rPr>
          <w:rFonts w:ascii="Times New Roman" w:eastAsia="標楷體" w:hAnsi="Times New Roman" w:cs="Times New Roman" w:hint="eastAsia"/>
          <w:szCs w:val="24"/>
        </w:rPr>
        <w:t>知識元件結構</w:t>
      </w:r>
    </w:p>
    <w:p w:rsidR="00C72B31" w:rsidRPr="008E019E" w:rsidRDefault="00C72B31" w:rsidP="00C72B31">
      <w:pPr>
        <w:widowControl/>
        <w:shd w:val="clear" w:color="auto" w:fill="FFFFFF"/>
        <w:jc w:val="center"/>
        <w:rPr>
          <w:rFonts w:ascii="標楷體" w:eastAsia="標楷體" w:hAnsi="標楷體" w:cs="新細明體"/>
          <w:color w:val="555555"/>
          <w:spacing w:val="8"/>
          <w:szCs w:val="24"/>
        </w:rPr>
      </w:pPr>
      <w:r w:rsidRPr="008E019E">
        <w:rPr>
          <w:rFonts w:ascii="標楷體" w:eastAsia="標楷體" w:hAnsi="標楷體" w:cs="新細明體" w:hint="eastAsia"/>
          <w:noProof/>
          <w:color w:val="555555"/>
          <w:spacing w:val="8"/>
          <w:szCs w:val="24"/>
        </w:rPr>
        <w:drawing>
          <wp:inline distT="0" distB="0" distL="0" distR="0" wp14:anchorId="045E483A" wp14:editId="30058308">
            <wp:extent cx="2848982" cy="1707236"/>
            <wp:effectExtent l="0" t="0" r="8890" b="7620"/>
            <wp:docPr id="3" name="圖片 3" descr="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357" cy="171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B31" w:rsidRPr="008E019E" w:rsidRDefault="00C72B31" w:rsidP="00C72B31">
      <w:pPr>
        <w:widowControl/>
        <w:shd w:val="clear" w:color="auto" w:fill="FFFFFF"/>
        <w:jc w:val="center"/>
        <w:rPr>
          <w:rFonts w:ascii="標楷體" w:eastAsia="標楷體" w:hAnsi="標楷體" w:cs="新細明體"/>
          <w:color w:val="555555"/>
          <w:spacing w:val="8"/>
          <w:szCs w:val="24"/>
        </w:rPr>
      </w:pPr>
      <w:r>
        <w:rPr>
          <w:rFonts w:ascii="標楷體" w:eastAsia="標楷體" w:hAnsi="標楷體" w:cs="新細明體" w:hint="eastAsia"/>
          <w:color w:val="555555"/>
          <w:spacing w:val="8"/>
          <w:szCs w:val="24"/>
        </w:rPr>
        <w:t>圖一</w:t>
      </w:r>
      <w:r w:rsidRPr="008E019E">
        <w:rPr>
          <w:rFonts w:ascii="標楷體" w:eastAsia="標楷體" w:hAnsi="標楷體" w:cs="新細明體" w:hint="eastAsia"/>
          <w:color w:val="555555"/>
          <w:spacing w:val="8"/>
          <w:szCs w:val="24"/>
        </w:rPr>
        <w:t>、知識元件的組成(取自</w:t>
      </w:r>
      <w:r w:rsidRPr="008E019E">
        <w:rPr>
          <w:rFonts w:ascii="標楷體" w:eastAsia="標楷體" w:hAnsi="標楷體" w:cs="新細明體"/>
          <w:color w:val="555555"/>
          <w:spacing w:val="8"/>
          <w:szCs w:val="24"/>
        </w:rPr>
        <w:t>http://kgrid.org/tools.html#object</w:t>
      </w:r>
      <w:r w:rsidRPr="008E019E">
        <w:rPr>
          <w:rFonts w:ascii="標楷體" w:eastAsia="標楷體" w:hAnsi="標楷體" w:cs="新細明體" w:hint="eastAsia"/>
          <w:color w:val="555555"/>
          <w:spacing w:val="8"/>
          <w:szCs w:val="24"/>
        </w:rPr>
        <w:t>)</w:t>
      </w:r>
    </w:p>
    <w:p w:rsidR="00C72B31" w:rsidRPr="008E019E" w:rsidRDefault="00C72B31" w:rsidP="00C72B31">
      <w:pPr>
        <w:widowControl/>
        <w:shd w:val="clear" w:color="auto" w:fill="FFFFFF"/>
        <w:jc w:val="both"/>
        <w:rPr>
          <w:rFonts w:ascii="標楷體" w:eastAsia="標楷體" w:hAnsi="標楷體" w:cs="新細明體"/>
          <w:color w:val="555555"/>
          <w:spacing w:val="8"/>
          <w:szCs w:val="24"/>
        </w:rPr>
      </w:pPr>
    </w:p>
    <w:p w:rsidR="00475F3D" w:rsidRDefault="00C72B31" w:rsidP="00A9292B">
      <w:pPr>
        <w:widowControl/>
        <w:shd w:val="clear" w:color="auto" w:fill="FFFFFF"/>
        <w:jc w:val="both"/>
        <w:outlineLvl w:val="3"/>
        <w:rPr>
          <w:rFonts w:ascii="標楷體" w:eastAsia="標楷體" w:hAnsi="標楷體" w:cs="新細明體"/>
          <w:color w:val="555555"/>
          <w:spacing w:val="8"/>
          <w:szCs w:val="24"/>
        </w:rPr>
      </w:pPr>
      <w:r w:rsidRPr="008E019E">
        <w:rPr>
          <w:rFonts w:ascii="標楷體" w:eastAsia="標楷體" w:hAnsi="標楷體" w:cs="新細明體" w:hint="eastAsia"/>
          <w:color w:val="555555"/>
          <w:spacing w:val="8"/>
          <w:szCs w:val="24"/>
        </w:rPr>
        <w:t>知識元件以模組化、計算機可處理的形式來儲存知識，由知識有效負載(</w:t>
      </w:r>
      <w:r w:rsidRPr="008E019E">
        <w:rPr>
          <w:rFonts w:ascii="標楷體" w:eastAsia="標楷體" w:hAnsi="標楷體" w:cs="新細明體"/>
          <w:color w:val="555555"/>
          <w:spacing w:val="8"/>
          <w:szCs w:val="24"/>
        </w:rPr>
        <w:t>payload</w:t>
      </w:r>
      <w:r w:rsidR="00A9292B">
        <w:rPr>
          <w:rFonts w:ascii="標楷體" w:eastAsia="標楷體" w:hAnsi="標楷體" w:cs="新細明體"/>
          <w:color w:val="555555"/>
          <w:spacing w:val="8"/>
          <w:szCs w:val="24"/>
        </w:rPr>
        <w:t>/</w:t>
      </w:r>
      <w:r w:rsidRPr="008E019E">
        <w:rPr>
          <w:rFonts w:ascii="標楷體" w:eastAsia="標楷體" w:hAnsi="標楷體" w:cs="新細明體" w:hint="eastAsia"/>
          <w:color w:val="555555"/>
          <w:spacing w:val="8"/>
          <w:szCs w:val="24"/>
        </w:rPr>
        <w:t>編</w:t>
      </w:r>
      <w:r w:rsidRPr="008E019E">
        <w:rPr>
          <w:rFonts w:ascii="標楷體" w:eastAsia="標楷體" w:hAnsi="標楷體" w:cs="新細明體"/>
          <w:color w:val="555555"/>
          <w:spacing w:val="8"/>
          <w:szCs w:val="24"/>
        </w:rPr>
        <w:t>碼成</w:t>
      </w:r>
      <w:r w:rsidRPr="008E019E">
        <w:rPr>
          <w:rFonts w:ascii="標楷體" w:eastAsia="標楷體" w:hAnsi="標楷體" w:cs="新細明體" w:hint="eastAsia"/>
          <w:color w:val="555555"/>
          <w:spacing w:val="8"/>
          <w:szCs w:val="24"/>
        </w:rPr>
        <w:t>任何計算機語言或可計算格式)、詳細的描述(</w:t>
      </w:r>
      <w:r w:rsidRPr="008E019E">
        <w:rPr>
          <w:rFonts w:ascii="標楷體" w:eastAsia="標楷體" w:hAnsi="標楷體" w:cs="新細明體"/>
          <w:color w:val="555555"/>
          <w:spacing w:val="8"/>
          <w:szCs w:val="24"/>
        </w:rPr>
        <w:t>description</w:t>
      </w:r>
      <w:r w:rsidRPr="008E019E">
        <w:rPr>
          <w:rFonts w:ascii="標楷體" w:eastAsia="標楷體" w:hAnsi="標楷體" w:cs="新細明體" w:hint="eastAsia"/>
          <w:color w:val="555555"/>
          <w:spacing w:val="8"/>
          <w:szCs w:val="24"/>
        </w:rPr>
        <w:t>)</w:t>
      </w:r>
      <w:r w:rsidR="002C50D1">
        <w:rPr>
          <w:rFonts w:ascii="標楷體" w:eastAsia="標楷體" w:hAnsi="標楷體" w:cs="新細明體" w:hint="eastAsia"/>
          <w:color w:val="555555"/>
          <w:spacing w:val="8"/>
          <w:szCs w:val="24"/>
        </w:rPr>
        <w:t>及</w:t>
      </w:r>
      <w:r w:rsidRPr="008E019E">
        <w:rPr>
          <w:rFonts w:ascii="標楷體" w:eastAsia="標楷體" w:hAnsi="標楷體" w:cs="新細明體" w:hint="eastAsia"/>
          <w:color w:val="555555"/>
          <w:spacing w:val="8"/>
          <w:szCs w:val="24"/>
        </w:rPr>
        <w:t>介面(</w:t>
      </w:r>
      <w:r w:rsidRPr="008E019E">
        <w:rPr>
          <w:rFonts w:ascii="標楷體" w:eastAsia="標楷體" w:hAnsi="標楷體" w:cs="新細明體"/>
          <w:color w:val="555555"/>
          <w:spacing w:val="8"/>
          <w:szCs w:val="24"/>
        </w:rPr>
        <w:t>interface</w:t>
      </w:r>
      <w:r w:rsidR="00A9292B">
        <w:rPr>
          <w:rFonts w:ascii="標楷體" w:eastAsia="標楷體" w:hAnsi="標楷體" w:cs="新細明體"/>
          <w:color w:val="555555"/>
          <w:spacing w:val="8"/>
          <w:szCs w:val="24"/>
        </w:rPr>
        <w:t>/</w:t>
      </w:r>
      <w:r w:rsidR="00A9292B">
        <w:rPr>
          <w:rFonts w:ascii="標楷體" w:eastAsia="標楷體" w:hAnsi="標楷體" w:cs="新細明體" w:hint="eastAsia"/>
          <w:color w:val="555555"/>
          <w:spacing w:val="8"/>
          <w:szCs w:val="24"/>
        </w:rPr>
        <w:t>含輸出入訊息</w:t>
      </w:r>
      <w:r w:rsidRPr="008E019E">
        <w:rPr>
          <w:rFonts w:ascii="標楷體" w:eastAsia="標楷體" w:hAnsi="標楷體" w:cs="新細明體" w:hint="eastAsia"/>
          <w:color w:val="555555"/>
          <w:spacing w:val="8"/>
          <w:szCs w:val="24"/>
        </w:rPr>
        <w:t>)三部分組成(見圖二)；將知識可計算化涉及將健康知識表示成生產規則、網路圖、結構化判斷、方程式以及機率的技術，一旦這些技術應用於將知識可執行化與可計算化，便產生知識有效負載，被包裹於知識元件之中；知識元件有效負載的例子包括預測模型、可計算化的指引、計量問卷、可計算化的表型以及臨床決策支援規則等；知識元件以模組化、可計算機處理的形式表示知識資源，將其外部化並提供服務。</w:t>
      </w:r>
      <w:r w:rsidR="00A9292B">
        <w:rPr>
          <w:rFonts w:ascii="標楷體" w:eastAsia="標楷體" w:hAnsi="標楷體" w:cs="新細明體" w:hint="eastAsia"/>
          <w:color w:val="555555"/>
          <w:spacing w:val="8"/>
          <w:szCs w:val="24"/>
        </w:rPr>
        <w:t>在萬芳醫院所開發的簡易編寫輔助工具(圖二)中呈現如下：</w:t>
      </w:r>
    </w:p>
    <w:p w:rsidR="00A9292B" w:rsidRPr="00A9292B" w:rsidRDefault="00A9292B" w:rsidP="00A9292B">
      <w:pPr>
        <w:widowControl/>
        <w:shd w:val="clear" w:color="auto" w:fill="FFFFFF"/>
        <w:jc w:val="both"/>
        <w:outlineLvl w:val="3"/>
        <w:rPr>
          <w:rFonts w:ascii="標楷體" w:eastAsia="標楷體" w:hAnsi="標楷體" w:cs="新細明體"/>
          <w:color w:val="555555"/>
          <w:spacing w:val="8"/>
          <w:szCs w:val="24"/>
        </w:rPr>
      </w:pPr>
    </w:p>
    <w:p w:rsidR="00C72B31" w:rsidRDefault="002C50D1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/>
          <w:noProof/>
          <w:color w:val="222222"/>
          <w:kern w:val="0"/>
          <w:szCs w:val="24"/>
        </w:rPr>
        <w:drawing>
          <wp:inline distT="0" distB="0" distL="0" distR="0">
            <wp:extent cx="5266690" cy="200406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D1" w:rsidRDefault="00A9292B" w:rsidP="00A9292B">
      <w:pPr>
        <w:widowControl/>
        <w:shd w:val="clear" w:color="auto" w:fill="FFFFFF"/>
        <w:jc w:val="center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圖二、</w:t>
      </w:r>
      <w:r>
        <w:rPr>
          <w:rFonts w:ascii="標楷體" w:eastAsia="標楷體" w:hAnsi="標楷體" w:cs="新細明體" w:hint="eastAsia"/>
          <w:color w:val="555555"/>
          <w:spacing w:val="8"/>
          <w:szCs w:val="24"/>
        </w:rPr>
        <w:t>簡易編寫輔助工具</w:t>
      </w: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(取自</w:t>
      </w:r>
      <w:r w:rsidRPr="00A9292B">
        <w:rPr>
          <w:rFonts w:ascii="標楷體" w:eastAsia="標楷體" w:hAnsi="標楷體" w:cs="新細明體"/>
          <w:color w:val="555555"/>
          <w:spacing w:val="8"/>
          <w:szCs w:val="24"/>
        </w:rPr>
        <w:t>http://lhs.wanfang.gov.tw:8066/</w:t>
      </w:r>
      <w:r>
        <w:rPr>
          <w:rFonts w:ascii="標楷體" w:eastAsia="標楷體" w:hAnsi="標楷體" w:cs="新細明體" w:hint="eastAsia"/>
          <w:color w:val="555555"/>
          <w:spacing w:val="8"/>
          <w:szCs w:val="24"/>
        </w:rPr>
        <w:t>)</w:t>
      </w:r>
    </w:p>
    <w:p w:rsidR="00070227" w:rsidRDefault="00070227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</w:p>
    <w:p w:rsidR="00070227" w:rsidRPr="00070227" w:rsidRDefault="0079382C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 w:rsidRPr="00975F59">
        <w:rPr>
          <w:rFonts w:ascii="標楷體" w:eastAsia="標楷體" w:hAnsi="標楷體" w:cs="Times New Roman" w:hint="eastAsia"/>
          <w:color w:val="222222"/>
          <w:kern w:val="0"/>
          <w:szCs w:val="24"/>
        </w:rPr>
        <w:lastRenderedPageBreak/>
        <w:t>在以JSON格式包裹完成的知識元件中，</w:t>
      </w:r>
      <w:r w:rsidR="00975F59" w:rsidRPr="00975F59">
        <w:rPr>
          <w:rFonts w:ascii="標楷體" w:eastAsia="標楷體" w:hAnsi="標楷體" w:cs="Times New Roman" w:hint="eastAsia"/>
          <w:color w:val="222222"/>
          <w:kern w:val="0"/>
          <w:szCs w:val="24"/>
        </w:rPr>
        <w:t>以</w:t>
      </w:r>
      <w:r w:rsidR="00756338">
        <w:rPr>
          <w:rFonts w:ascii="標楷體" w:eastAsia="標楷體" w:hAnsi="標楷體" w:cs="Times New Roman" w:hint="eastAsia"/>
          <w:color w:val="222222"/>
          <w:kern w:val="0"/>
          <w:szCs w:val="24"/>
        </w:rPr>
        <w:t>下以</w:t>
      </w:r>
      <w:r w:rsidR="00975F59" w:rsidRPr="00975F59">
        <w:rPr>
          <w:rFonts w:ascii="標楷體" w:eastAsia="標楷體" w:hAnsi="標楷體"/>
          <w:color w:val="24292E"/>
          <w:szCs w:val="24"/>
          <w:shd w:val="clear" w:color="auto" w:fill="FFFFFF"/>
        </w:rPr>
        <w:t>"CPIC - Warfrain dosing recom</w:t>
      </w:r>
      <w:r w:rsidR="00975F59"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m</w:t>
      </w:r>
      <w:r w:rsidR="00975F59" w:rsidRPr="00975F59">
        <w:rPr>
          <w:rFonts w:ascii="標楷體" w:eastAsia="標楷體" w:hAnsi="標楷體"/>
          <w:color w:val="24292E"/>
          <w:szCs w:val="24"/>
          <w:shd w:val="clear" w:color="auto" w:fill="FFFFFF"/>
        </w:rPr>
        <w:t>endations for pediatric patients"</w:t>
      </w:r>
      <w:r w:rsidR="00975F59" w:rsidRPr="00975F59"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元件</w:t>
      </w:r>
      <w:r w:rsidR="00975F59"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(註一)</w:t>
      </w:r>
      <w:r w:rsidR="00975F59" w:rsidRPr="00975F59"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為例，</w:t>
      </w:r>
      <w:r w:rsidR="00756338" w:rsidRPr="00975F59">
        <w:rPr>
          <w:rFonts w:ascii="標楷體" w:eastAsia="標楷體" w:hAnsi="標楷體" w:cs="Times New Roman" w:hint="eastAsia"/>
          <w:color w:val="222222"/>
          <w:kern w:val="0"/>
          <w:szCs w:val="24"/>
        </w:rPr>
        <w:t>各部分</w:t>
      </w:r>
      <w:r w:rsidRPr="00975F59">
        <w:rPr>
          <w:rFonts w:ascii="標楷體" w:eastAsia="標楷體" w:hAnsi="標楷體" w:cs="Times New Roman" w:hint="eastAsia"/>
          <w:color w:val="222222"/>
          <w:kern w:val="0"/>
          <w:szCs w:val="24"/>
        </w:rPr>
        <w:t>呈現如圖三：</w:t>
      </w:r>
    </w:p>
    <w:p w:rsidR="0079382C" w:rsidRDefault="00081EC7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/>
          <w:noProof/>
          <w:color w:val="222222"/>
          <w:kern w:val="0"/>
          <w:szCs w:val="24"/>
        </w:rPr>
        <w:drawing>
          <wp:inline distT="0" distB="0" distL="0" distR="0">
            <wp:extent cx="5266690" cy="272859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F59" w:rsidRDefault="0079382C" w:rsidP="00975F59">
      <w:pPr>
        <w:widowControl/>
        <w:shd w:val="clear" w:color="auto" w:fill="FFFFFF"/>
        <w:jc w:val="center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圖三、</w:t>
      </w:r>
      <w:r w:rsidR="006E0583">
        <w:rPr>
          <w:rFonts w:ascii="標楷體" w:eastAsia="標楷體" w:hAnsi="標楷體" w:cs="Times New Roman" w:hint="eastAsia"/>
          <w:color w:val="222222"/>
          <w:kern w:val="0"/>
          <w:szCs w:val="24"/>
        </w:rPr>
        <w:t>知識元件原始JSON格式</w:t>
      </w:r>
    </w:p>
    <w:p w:rsidR="00070227" w:rsidRDefault="00070227" w:rsidP="00070227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</w:p>
    <w:p w:rsidR="00070227" w:rsidRDefault="00070227" w:rsidP="00070227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二、知識依據：</w:t>
      </w:r>
    </w:p>
    <w:p w:rsidR="009639DE" w:rsidRDefault="009639DE" w:rsidP="00070227">
      <w:pPr>
        <w:widowControl/>
        <w:shd w:val="clear" w:color="auto" w:fill="FFFFFF"/>
        <w:rPr>
          <w:rFonts w:ascii="標楷體" w:eastAsia="標楷體" w:hAnsi="標楷體" w:cs="Times New Roman" w:hint="eastAsia"/>
          <w:color w:val="222222"/>
          <w:kern w:val="0"/>
          <w:szCs w:val="24"/>
        </w:rPr>
      </w:pPr>
      <w:r w:rsidRPr="00975F59">
        <w:rPr>
          <w:rFonts w:ascii="標楷體" w:eastAsia="標楷體" w:hAnsi="標楷體"/>
          <w:color w:val="24292E"/>
          <w:szCs w:val="24"/>
          <w:shd w:val="clear" w:color="auto" w:fill="FFFFFF"/>
        </w:rPr>
        <w:t>"CPIC - Warfrain dosing recom</w:t>
      </w:r>
      <w:r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m</w:t>
      </w:r>
      <w:r w:rsidRPr="00975F59">
        <w:rPr>
          <w:rFonts w:ascii="標楷體" w:eastAsia="標楷體" w:hAnsi="標楷體"/>
          <w:color w:val="24292E"/>
          <w:szCs w:val="24"/>
          <w:shd w:val="clear" w:color="auto" w:fill="FFFFFF"/>
        </w:rPr>
        <w:t>endations for pediatric patients"</w:t>
      </w:r>
      <w:r w:rsidRPr="00975F59"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元件</w:t>
      </w:r>
      <w:r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的依據如圖四(註二)，</w:t>
      </w:r>
      <w:r w:rsidR="008F059E"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即當兒童病患被檢測出帶有VKORC1</w:t>
      </w:r>
      <w:r w:rsidR="008F059E">
        <w:rPr>
          <w:rFonts w:ascii="標楷體" w:eastAsia="標楷體" w:hAnsi="標楷體"/>
          <w:color w:val="24292E"/>
          <w:szCs w:val="24"/>
          <w:shd w:val="clear" w:color="auto" w:fill="FFFFFF"/>
        </w:rPr>
        <w:t>-1639G&gt;A</w:t>
      </w:r>
      <w:r w:rsidR="008F059E"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、CYP2C9</w:t>
      </w:r>
      <w:r w:rsidR="008F059E">
        <w:rPr>
          <w:rFonts w:ascii="標楷體" w:eastAsia="標楷體" w:hAnsi="標楷體"/>
          <w:color w:val="24292E"/>
          <w:szCs w:val="24"/>
          <w:shd w:val="clear" w:color="auto" w:fill="FFFFFF"/>
        </w:rPr>
        <w:t>*2</w:t>
      </w:r>
      <w:r w:rsidR="008F059E"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及</w:t>
      </w:r>
      <w:r w:rsidR="008F059E"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CYP2C9</w:t>
      </w:r>
      <w:r w:rsidR="008F059E">
        <w:rPr>
          <w:rFonts w:ascii="標楷體" w:eastAsia="標楷體" w:hAnsi="標楷體"/>
          <w:color w:val="24292E"/>
          <w:szCs w:val="24"/>
          <w:shd w:val="clear" w:color="auto" w:fill="FFFFFF"/>
        </w:rPr>
        <w:t>*</w:t>
      </w:r>
      <w:r w:rsidR="008F059E"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3的基因型，同時病患為歐洲血統時，應按已驗證的劑量演算法給予合適的計量，否則則給予一般臨床劑量</w:t>
      </w:r>
      <w:r w:rsidR="00393382"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。</w:t>
      </w:r>
    </w:p>
    <w:p w:rsidR="00070227" w:rsidRDefault="00070227" w:rsidP="00975F59">
      <w:pPr>
        <w:widowControl/>
        <w:shd w:val="clear" w:color="auto" w:fill="FFFFFF"/>
        <w:jc w:val="center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noProof/>
          <w:color w:val="222222"/>
          <w:kern w:val="0"/>
          <w:szCs w:val="24"/>
        </w:rPr>
        <w:drawing>
          <wp:inline distT="0" distB="0" distL="0" distR="0">
            <wp:extent cx="5266690" cy="2626360"/>
            <wp:effectExtent l="0" t="0" r="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227" w:rsidRDefault="00070227" w:rsidP="00975F59">
      <w:pPr>
        <w:widowControl/>
        <w:shd w:val="clear" w:color="auto" w:fill="FFFFFF"/>
        <w:jc w:val="center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圖四、</w:t>
      </w:r>
      <w:r w:rsidRPr="00975F59">
        <w:rPr>
          <w:rFonts w:ascii="標楷體" w:eastAsia="標楷體" w:hAnsi="標楷體"/>
          <w:color w:val="24292E"/>
          <w:szCs w:val="24"/>
          <w:shd w:val="clear" w:color="auto" w:fill="FFFFFF"/>
        </w:rPr>
        <w:t>"CPIC - Warfrain dosing recom</w:t>
      </w:r>
      <w:r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m</w:t>
      </w:r>
      <w:r w:rsidRPr="00975F59">
        <w:rPr>
          <w:rFonts w:ascii="標楷體" w:eastAsia="標楷體" w:hAnsi="標楷體"/>
          <w:color w:val="24292E"/>
          <w:szCs w:val="24"/>
          <w:shd w:val="clear" w:color="auto" w:fill="FFFFFF"/>
        </w:rPr>
        <w:t>endations for pediatric patients"</w:t>
      </w:r>
      <w:r w:rsidRPr="00975F59"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元件</w:t>
      </w:r>
      <w:r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知識依據(註二)</w:t>
      </w:r>
    </w:p>
    <w:p w:rsidR="006E0583" w:rsidRDefault="006E0583" w:rsidP="006E0583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</w:p>
    <w:p w:rsidR="00DE44F6" w:rsidRDefault="00DE44F6" w:rsidP="006E0583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三、</w:t>
      </w:r>
      <w:r w:rsidR="0096363F">
        <w:rPr>
          <w:rFonts w:ascii="標楷體" w:eastAsia="標楷體" w:hAnsi="標楷體" w:cs="Times New Roman" w:hint="eastAsia"/>
          <w:color w:val="222222"/>
          <w:kern w:val="0"/>
          <w:szCs w:val="24"/>
        </w:rPr>
        <w:t>Python</w:t>
      </w: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程式：</w:t>
      </w:r>
    </w:p>
    <w:p w:rsidR="00E60304" w:rsidRDefault="0096363F" w:rsidP="006E0583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lastRenderedPageBreak/>
        <w:t>將上述知識以Python程式編寫，請參考範例程式</w:t>
      </w:r>
      <w:r w:rsidRPr="0096363F">
        <w:rPr>
          <w:rFonts w:ascii="標楷體" w:eastAsia="標楷體" w:hAnsi="標楷體" w:cs="Times New Roman"/>
          <w:color w:val="222222"/>
          <w:kern w:val="0"/>
          <w:szCs w:val="24"/>
        </w:rPr>
        <w:t>Wafrain_dosing_pediatric.py</w:t>
      </w: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(註三)</w:t>
      </w:r>
      <w:r w:rsidR="00E60304">
        <w:rPr>
          <w:rFonts w:ascii="標楷體" w:eastAsia="標楷體" w:hAnsi="標楷體" w:cs="Times New Roman" w:hint="eastAsia"/>
          <w:color w:val="222222"/>
          <w:kern w:val="0"/>
          <w:szCs w:val="24"/>
        </w:rPr>
        <w:t>。</w:t>
      </w:r>
    </w:p>
    <w:p w:rsidR="00ED0C8C" w:rsidRDefault="0096363F" w:rsidP="006E0583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當輸入值為以下時：</w:t>
      </w:r>
    </w:p>
    <w:p w:rsidR="0096363F" w:rsidRDefault="0096363F" w:rsidP="006E0583">
      <w:pPr>
        <w:widowControl/>
        <w:shd w:val="clear" w:color="auto" w:fill="FFFFFF"/>
        <w:rPr>
          <w:rFonts w:ascii="標楷體" w:eastAsia="標楷體" w:hAnsi="標楷體" w:cs="Times New Roman" w:hint="eastAsia"/>
          <w:color w:val="222222"/>
          <w:kern w:val="0"/>
          <w:szCs w:val="24"/>
        </w:rPr>
      </w:pPr>
      <w:r w:rsidRPr="0096363F">
        <w:rPr>
          <w:rFonts w:ascii="標楷體" w:eastAsia="標楷體" w:hAnsi="標楷體" w:cs="Times New Roman"/>
          <w:color w:val="222222"/>
          <w:kern w:val="0"/>
          <w:szCs w:val="24"/>
        </w:rPr>
        <w:t>instr = {'VKORC1-</w:t>
      </w:r>
      <w:r>
        <w:rPr>
          <w:rFonts w:ascii="標楷體" w:eastAsia="標楷體" w:hAnsi="標楷體" w:cs="Times New Roman"/>
          <w:color w:val="222222"/>
          <w:kern w:val="0"/>
          <w:szCs w:val="24"/>
        </w:rPr>
        <w:t>1639G&gt;A': '(+)', 'CYP2C9*2': '(</w:t>
      </w: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+</w:t>
      </w:r>
      <w:r w:rsidRPr="0096363F">
        <w:rPr>
          <w:rFonts w:ascii="標楷體" w:eastAsia="標楷體" w:hAnsi="標楷體" w:cs="Times New Roman"/>
          <w:color w:val="222222"/>
          <w:kern w:val="0"/>
          <w:szCs w:val="24"/>
        </w:rPr>
        <w:t>)', 'CYP2C9*3': 'POSITIVE', 'European': 'POSITIVE'}</w:t>
      </w:r>
    </w:p>
    <w:p w:rsidR="0096363F" w:rsidRPr="0096363F" w:rsidRDefault="0096363F" w:rsidP="006E0583">
      <w:pPr>
        <w:widowControl/>
        <w:shd w:val="clear" w:color="auto" w:fill="FFFFFF"/>
        <w:rPr>
          <w:rFonts w:ascii="標楷體" w:eastAsia="標楷體" w:hAnsi="標楷體" w:cs="Times New Roman" w:hint="eastAsia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回應</w:t>
      </w:r>
      <w:r>
        <w:rPr>
          <w:rFonts w:ascii="標楷體" w:eastAsia="標楷體" w:hAnsi="標楷體" w:cs="Times New Roman"/>
          <w:color w:val="222222"/>
          <w:kern w:val="0"/>
          <w:szCs w:val="24"/>
        </w:rPr>
        <w:t>”</w:t>
      </w:r>
      <w:r w:rsidRPr="0096363F">
        <w:t xml:space="preserve"> </w:t>
      </w:r>
      <w:r w:rsidRPr="0096363F">
        <w:rPr>
          <w:rFonts w:ascii="標楷體" w:eastAsia="標楷體" w:hAnsi="標楷體" w:cs="Times New Roman"/>
          <w:color w:val="222222"/>
          <w:kern w:val="0"/>
          <w:szCs w:val="24"/>
        </w:rPr>
        <w:t>Calcaulate dose based on validated published pharmacogenetic algorithms</w:t>
      </w:r>
      <w:r>
        <w:rPr>
          <w:rFonts w:ascii="標楷體" w:eastAsia="標楷體" w:hAnsi="標楷體" w:cs="Times New Roman"/>
          <w:color w:val="222222"/>
          <w:kern w:val="0"/>
          <w:szCs w:val="24"/>
        </w:rPr>
        <w:t>”</w:t>
      </w: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，否則</w:t>
      </w:r>
      <w:r w:rsidR="00E60304">
        <w:rPr>
          <w:rFonts w:ascii="標楷體" w:eastAsia="標楷體" w:hAnsi="標楷體" w:cs="Times New Roman" w:hint="eastAsia"/>
          <w:color w:val="222222"/>
          <w:kern w:val="0"/>
          <w:szCs w:val="24"/>
        </w:rPr>
        <w:t>傳回</w:t>
      </w:r>
      <w:r w:rsidR="00E60304">
        <w:rPr>
          <w:rFonts w:ascii="標楷體" w:eastAsia="標楷體" w:hAnsi="標楷體" w:cs="Times New Roman"/>
          <w:color w:val="222222"/>
          <w:kern w:val="0"/>
          <w:szCs w:val="24"/>
        </w:rPr>
        <w:t>”</w:t>
      </w:r>
      <w:r w:rsidR="00E60304" w:rsidRPr="00E60304">
        <w:t xml:space="preserve"> </w:t>
      </w:r>
      <w:r w:rsidR="00E60304" w:rsidRPr="00E60304">
        <w:rPr>
          <w:rFonts w:ascii="標楷體" w:eastAsia="標楷體" w:hAnsi="標楷體" w:cs="Times New Roman"/>
          <w:color w:val="222222"/>
          <w:kern w:val="0"/>
          <w:szCs w:val="24"/>
        </w:rPr>
        <w:t>Dose clinically</w:t>
      </w:r>
      <w:r w:rsidR="00E60304">
        <w:rPr>
          <w:rFonts w:ascii="標楷體" w:eastAsia="標楷體" w:hAnsi="標楷體" w:cs="Times New Roman"/>
          <w:color w:val="222222"/>
          <w:kern w:val="0"/>
          <w:szCs w:val="24"/>
        </w:rPr>
        <w:t>”</w:t>
      </w:r>
      <w:r w:rsidR="00E60304">
        <w:rPr>
          <w:rFonts w:ascii="標楷體" w:eastAsia="標楷體" w:hAnsi="標楷體" w:cs="Times New Roman" w:hint="eastAsia"/>
          <w:color w:val="222222"/>
          <w:kern w:val="0"/>
          <w:szCs w:val="24"/>
        </w:rPr>
        <w:t>，其中</w:t>
      </w:r>
      <w:r w:rsidR="00E60304">
        <w:rPr>
          <w:rFonts w:ascii="標楷體" w:eastAsia="標楷體" w:hAnsi="標楷體" w:cs="Times New Roman"/>
          <w:color w:val="222222"/>
          <w:kern w:val="0"/>
          <w:szCs w:val="24"/>
        </w:rPr>
        <w:t>(+)</w:t>
      </w:r>
      <w:r w:rsidR="00E60304">
        <w:rPr>
          <w:rFonts w:ascii="標楷體" w:eastAsia="標楷體" w:hAnsi="標楷體" w:cs="Times New Roman" w:hint="eastAsia"/>
          <w:color w:val="222222"/>
          <w:kern w:val="0"/>
          <w:szCs w:val="24"/>
        </w:rPr>
        <w:t>及</w:t>
      </w:r>
      <w:r w:rsidR="00E60304" w:rsidRPr="0096363F">
        <w:rPr>
          <w:rFonts w:ascii="標楷體" w:eastAsia="標楷體" w:hAnsi="標楷體" w:cs="Times New Roman"/>
          <w:color w:val="222222"/>
          <w:kern w:val="0"/>
          <w:szCs w:val="24"/>
        </w:rPr>
        <w:t>POSITIVE</w:t>
      </w:r>
      <w:r w:rsidR="00E60304">
        <w:rPr>
          <w:rFonts w:ascii="標楷體" w:eastAsia="標楷體" w:hAnsi="標楷體" w:cs="Times New Roman" w:hint="eastAsia"/>
          <w:color w:val="222222"/>
          <w:kern w:val="0"/>
          <w:szCs w:val="24"/>
        </w:rPr>
        <w:t>可互相替換。</w:t>
      </w:r>
    </w:p>
    <w:p w:rsidR="00ED0C8C" w:rsidRDefault="00ED0C8C" w:rsidP="006E0583">
      <w:pPr>
        <w:widowControl/>
        <w:shd w:val="clear" w:color="auto" w:fill="FFFFFF"/>
        <w:rPr>
          <w:rFonts w:ascii="標楷體" w:eastAsia="標楷體" w:hAnsi="標楷體" w:cs="Times New Roman" w:hint="eastAsia"/>
          <w:color w:val="222222"/>
          <w:kern w:val="0"/>
          <w:szCs w:val="24"/>
        </w:rPr>
      </w:pPr>
    </w:p>
    <w:p w:rsidR="006E0583" w:rsidRDefault="003B20B1" w:rsidP="006E0583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四</w:t>
      </w:r>
      <w:r w:rsidR="006E0583">
        <w:rPr>
          <w:rFonts w:ascii="標楷體" w:eastAsia="標楷體" w:hAnsi="標楷體" w:cs="Times New Roman" w:hint="eastAsia"/>
          <w:color w:val="222222"/>
          <w:kern w:val="0"/>
          <w:szCs w:val="24"/>
        </w:rPr>
        <w:t>、</w:t>
      </w:r>
      <w:r w:rsidR="00E102EB">
        <w:rPr>
          <w:rFonts w:ascii="標楷體" w:eastAsia="標楷體" w:hAnsi="標楷體" w:cs="Times New Roman" w:hint="eastAsia"/>
          <w:color w:val="222222"/>
          <w:kern w:val="0"/>
          <w:szCs w:val="24"/>
        </w:rPr>
        <w:t>說明</w:t>
      </w:r>
      <w:r w:rsidR="0017428F">
        <w:rPr>
          <w:rFonts w:ascii="標楷體" w:eastAsia="標楷體" w:hAnsi="標楷體" w:cs="Times New Roman" w:hint="eastAsia"/>
          <w:color w:val="222222"/>
          <w:kern w:val="0"/>
          <w:szCs w:val="24"/>
        </w:rPr>
        <w:t>(metadata)</w:t>
      </w:r>
    </w:p>
    <w:p w:rsidR="003B20B1" w:rsidRDefault="003B20B1" w:rsidP="006E0583">
      <w:pPr>
        <w:widowControl/>
        <w:shd w:val="clear" w:color="auto" w:fill="FFFFFF"/>
        <w:rPr>
          <w:rFonts w:ascii="標楷體" w:eastAsia="標楷體" w:hAnsi="標楷體" w:cs="Times New Roman" w:hint="eastAsia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按JSON格式撰寫元件補充資訊：</w:t>
      </w:r>
    </w:p>
    <w:p w:rsidR="00E102EB" w:rsidRDefault="0017428F" w:rsidP="00081EC7">
      <w:pPr>
        <w:widowControl/>
        <w:shd w:val="clear" w:color="auto" w:fill="FFFFFF"/>
        <w:jc w:val="center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/>
          <w:noProof/>
          <w:color w:val="222222"/>
          <w:kern w:val="0"/>
          <w:szCs w:val="24"/>
        </w:rPr>
        <w:drawing>
          <wp:inline distT="0" distB="0" distL="0" distR="0">
            <wp:extent cx="5266690" cy="18364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EB" w:rsidRDefault="00073EE7" w:rsidP="006E0583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五</w:t>
      </w:r>
      <w:r w:rsidR="00E102EB">
        <w:rPr>
          <w:rFonts w:ascii="標楷體" w:eastAsia="標楷體" w:hAnsi="標楷體" w:cs="Times New Roman" w:hint="eastAsia"/>
          <w:color w:val="222222"/>
          <w:kern w:val="0"/>
          <w:szCs w:val="24"/>
        </w:rPr>
        <w:t>、有效負載</w:t>
      </w:r>
      <w:r w:rsidR="0017428F">
        <w:rPr>
          <w:rFonts w:ascii="標楷體" w:eastAsia="標楷體" w:hAnsi="標楷體" w:cs="Times New Roman" w:hint="eastAsia"/>
          <w:color w:val="222222"/>
          <w:kern w:val="0"/>
          <w:szCs w:val="24"/>
        </w:rPr>
        <w:t>(</w:t>
      </w:r>
      <w:r w:rsidR="0017428F">
        <w:rPr>
          <w:rFonts w:ascii="標楷體" w:eastAsia="標楷體" w:hAnsi="標楷體" w:cs="Times New Roman"/>
          <w:color w:val="222222"/>
          <w:kern w:val="0"/>
          <w:szCs w:val="24"/>
        </w:rPr>
        <w:t>payload</w:t>
      </w:r>
      <w:r w:rsidR="0017428F">
        <w:rPr>
          <w:rFonts w:ascii="標楷體" w:eastAsia="標楷體" w:hAnsi="標楷體" w:cs="Times New Roman" w:hint="eastAsia"/>
          <w:color w:val="222222"/>
          <w:kern w:val="0"/>
          <w:szCs w:val="24"/>
        </w:rPr>
        <w:t>)</w:t>
      </w:r>
    </w:p>
    <w:p w:rsidR="00073EE7" w:rsidRDefault="00073EE7" w:rsidP="006E0583">
      <w:pPr>
        <w:widowControl/>
        <w:shd w:val="clear" w:color="auto" w:fill="FFFFFF"/>
        <w:rPr>
          <w:rFonts w:ascii="標楷體" w:eastAsia="標楷體" w:hAnsi="標楷體" w:cs="Times New Roman" w:hint="eastAsia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將第三點中Python程式的</w:t>
      </w:r>
      <w:r w:rsidRPr="00073EE7">
        <w:rPr>
          <w:rFonts w:ascii="標楷體" w:eastAsia="標楷體" w:hAnsi="標楷體" w:cs="Times New Roman"/>
          <w:color w:val="222222"/>
          <w:kern w:val="0"/>
          <w:szCs w:val="24"/>
        </w:rPr>
        <w:t>getGuideline</w:t>
      </w: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函式取出：</w:t>
      </w:r>
    </w:p>
    <w:p w:rsidR="003B20B1" w:rsidRDefault="00073EE7" w:rsidP="00073EE7">
      <w:pPr>
        <w:widowControl/>
        <w:shd w:val="clear" w:color="auto" w:fill="FFFFFF"/>
        <w:jc w:val="center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/>
          <w:noProof/>
          <w:color w:val="222222"/>
          <w:kern w:val="0"/>
          <w:szCs w:val="24"/>
        </w:rPr>
        <w:drawing>
          <wp:inline distT="0" distB="0" distL="0" distR="0">
            <wp:extent cx="3796589" cy="3153448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273" cy="316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EE7" w:rsidRDefault="00073EE7" w:rsidP="00073EE7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</w:p>
    <w:p w:rsidR="00073EE7" w:rsidRDefault="00073EE7" w:rsidP="00073EE7">
      <w:pPr>
        <w:widowControl/>
        <w:shd w:val="clear" w:color="auto" w:fill="FFFFFF"/>
        <w:rPr>
          <w:rFonts w:ascii="標楷體" w:eastAsia="標楷體" w:hAnsi="標楷體" w:cs="Times New Roman" w:hint="eastAsia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lastRenderedPageBreak/>
        <w:t>加入Tab(</w:t>
      </w:r>
      <w:r>
        <w:rPr>
          <w:rFonts w:ascii="標楷體" w:eastAsia="標楷體" w:hAnsi="標楷體" w:cs="Times New Roman"/>
          <w:color w:val="222222"/>
          <w:kern w:val="0"/>
          <w:szCs w:val="24"/>
        </w:rPr>
        <w:t>\t</w:t>
      </w: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)及換行字元(</w:t>
      </w:r>
      <w:r>
        <w:rPr>
          <w:rFonts w:ascii="標楷體" w:eastAsia="標楷體" w:hAnsi="標楷體" w:cs="Times New Roman"/>
          <w:color w:val="222222"/>
          <w:kern w:val="0"/>
          <w:szCs w:val="24"/>
        </w:rPr>
        <w:t>\n</w:t>
      </w: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)打包成一行放入payload的content之中，並在payload的engineType指定程式語言：</w:t>
      </w:r>
    </w:p>
    <w:p w:rsidR="00E102EB" w:rsidRDefault="0017428F" w:rsidP="006E0583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noProof/>
          <w:color w:val="222222"/>
          <w:kern w:val="0"/>
          <w:szCs w:val="24"/>
        </w:rPr>
        <w:drawing>
          <wp:inline distT="0" distB="0" distL="0" distR="0">
            <wp:extent cx="5266690" cy="1572895"/>
            <wp:effectExtent l="0" t="0" r="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EB" w:rsidRDefault="00E102EB" w:rsidP="006E0583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 xml:space="preserve">四、介面 </w:t>
      </w:r>
      <w:r>
        <w:rPr>
          <w:rFonts w:ascii="標楷體" w:eastAsia="標楷體" w:hAnsi="標楷體" w:cs="Times New Roman"/>
          <w:color w:val="222222"/>
          <w:kern w:val="0"/>
          <w:szCs w:val="24"/>
        </w:rPr>
        <w:t xml:space="preserve">- </w:t>
      </w: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輸入訊息</w:t>
      </w:r>
    </w:p>
    <w:p w:rsidR="00081933" w:rsidRDefault="00081933" w:rsidP="006E0583">
      <w:pPr>
        <w:widowControl/>
        <w:shd w:val="clear" w:color="auto" w:fill="FFFFFF"/>
        <w:rPr>
          <w:rFonts w:ascii="標楷體" w:eastAsia="標楷體" w:hAnsi="標楷體" w:cs="Times New Roman" w:hint="eastAsia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RDF格式(註四)：</w:t>
      </w:r>
    </w:p>
    <w:p w:rsidR="00E102EB" w:rsidRDefault="00081933" w:rsidP="006E0583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/>
          <w:noProof/>
          <w:color w:val="222222"/>
          <w:kern w:val="0"/>
          <w:szCs w:val="24"/>
        </w:rPr>
        <w:drawing>
          <wp:inline distT="0" distB="0" distL="0" distR="0">
            <wp:extent cx="5266690" cy="3328670"/>
            <wp:effectExtent l="0" t="0" r="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33" w:rsidRDefault="00081933" w:rsidP="006E0583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再打包成一行：</w:t>
      </w:r>
    </w:p>
    <w:p w:rsidR="00081933" w:rsidRDefault="00081933" w:rsidP="006E0583">
      <w:pPr>
        <w:widowControl/>
        <w:shd w:val="clear" w:color="auto" w:fill="FFFFFF"/>
        <w:rPr>
          <w:rFonts w:ascii="標楷體" w:eastAsia="標楷體" w:hAnsi="標楷體" w:cs="Times New Roman" w:hint="eastAsia"/>
          <w:color w:val="222222"/>
          <w:kern w:val="0"/>
          <w:szCs w:val="24"/>
        </w:rPr>
      </w:pPr>
      <w:r w:rsidRPr="00081933">
        <w:rPr>
          <w:rFonts w:ascii="標楷體" w:eastAsia="標楷體" w:hAnsi="標楷體" w:cs="Times New Roman"/>
          <w:color w:val="222222"/>
          <w:kern w:val="0"/>
          <w:szCs w:val="24"/>
        </w:rPr>
        <w:drawing>
          <wp:inline distT="0" distB="0" distL="0" distR="0" wp14:anchorId="71A81DC1" wp14:editId="007320D1">
            <wp:extent cx="5274310" cy="1042035"/>
            <wp:effectExtent l="0" t="0" r="2540" b="5715"/>
            <wp:docPr id="1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EB" w:rsidRDefault="00E102EB" w:rsidP="006E0583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 xml:space="preserve">五、介面 </w:t>
      </w:r>
      <w:r>
        <w:rPr>
          <w:rFonts w:ascii="標楷體" w:eastAsia="標楷體" w:hAnsi="標楷體" w:cs="Times New Roman"/>
          <w:color w:val="222222"/>
          <w:kern w:val="0"/>
          <w:szCs w:val="24"/>
        </w:rPr>
        <w:t>–</w:t>
      </w: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 xml:space="preserve"> 輸出訊息</w:t>
      </w:r>
    </w:p>
    <w:p w:rsidR="00F91ACA" w:rsidRDefault="00081933" w:rsidP="006E0583">
      <w:pPr>
        <w:widowControl/>
        <w:shd w:val="clear" w:color="auto" w:fill="FFFFFF"/>
        <w:rPr>
          <w:rFonts w:ascii="標楷體" w:eastAsia="標楷體" w:hAnsi="標楷體" w:cs="Times New Roman" w:hint="eastAsia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一樣是RDF格式(註五)，再打包成一行，</w:t>
      </w:r>
      <w:r w:rsidR="00F91ACA">
        <w:rPr>
          <w:rFonts w:ascii="標楷體" w:eastAsia="標楷體" w:hAnsi="標楷體" w:cs="Times New Roman" w:hint="eastAsia"/>
          <w:color w:val="222222"/>
          <w:kern w:val="0"/>
          <w:szCs w:val="24"/>
        </w:rPr>
        <w:t>可直接取用範例，原則上無需更改：</w:t>
      </w:r>
    </w:p>
    <w:p w:rsidR="00F91ACA" w:rsidRDefault="00F91ACA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 w:rsidRPr="00F91ACA">
        <w:rPr>
          <w:rFonts w:ascii="標楷體" w:eastAsia="標楷體" w:hAnsi="標楷體" w:cs="Times New Roman"/>
          <w:color w:val="222222"/>
          <w:kern w:val="0"/>
          <w:szCs w:val="24"/>
        </w:rPr>
        <w:drawing>
          <wp:inline distT="0" distB="0" distL="0" distR="0" wp14:anchorId="0C6E514F" wp14:editId="06D03ECB">
            <wp:extent cx="5274310" cy="315595"/>
            <wp:effectExtent l="0" t="0" r="2540" b="8255"/>
            <wp:docPr id="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CA" w:rsidRDefault="00F91ACA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</w:p>
    <w:p w:rsidR="0079382C" w:rsidRDefault="00975F59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lastRenderedPageBreak/>
        <w:t>註一：</w:t>
      </w:r>
      <w:hyperlink r:id="rId17" w:history="1">
        <w:r w:rsidRPr="00A96DA4">
          <w:rPr>
            <w:rStyle w:val="a5"/>
            <w:rFonts w:ascii="標楷體" w:eastAsia="標楷體" w:hAnsi="標楷體" w:cs="Times New Roman"/>
            <w:kern w:val="0"/>
            <w:szCs w:val="24"/>
          </w:rPr>
          <w:t>https://github.com/wucy1/Knowledge-Grid-Chinese-Manual/blob/master/KO-samples/Wafrain_dosing_pediatric_ko.txt</w:t>
        </w:r>
      </w:hyperlink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 xml:space="preserve"> </w:t>
      </w:r>
    </w:p>
    <w:p w:rsidR="009639DE" w:rsidRDefault="008F059E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註二：</w:t>
      </w:r>
      <w:hyperlink r:id="rId18" w:history="1">
        <w:r w:rsidRPr="00F66FA3">
          <w:rPr>
            <w:rStyle w:val="a5"/>
            <w:rFonts w:ascii="標楷體" w:eastAsia="標楷體" w:hAnsi="標楷體" w:cs="Times New Roman"/>
            <w:kern w:val="0"/>
            <w:szCs w:val="24"/>
          </w:rPr>
          <w:t>https://cpicpgx.org/content/guideline/publication/warfarin/2017/warfarin.pdf</w:t>
        </w:r>
      </w:hyperlink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 xml:space="preserve"> </w:t>
      </w:r>
    </w:p>
    <w:p w:rsidR="0096363F" w:rsidRDefault="0096363F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註三：</w:t>
      </w:r>
      <w:hyperlink r:id="rId19" w:history="1">
        <w:r w:rsidRPr="00F66FA3">
          <w:rPr>
            <w:rStyle w:val="a5"/>
            <w:rFonts w:ascii="標楷體" w:eastAsia="標楷體" w:hAnsi="標楷體" w:cs="Times New Roman"/>
            <w:kern w:val="0"/>
            <w:szCs w:val="24"/>
          </w:rPr>
          <w:t>https://github.com/wucy1/Knowledge-Grid-Chinese-Manual/blob/master/KO-samples/Wafrain_dosing_pediatric.py</w:t>
        </w:r>
      </w:hyperlink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 xml:space="preserve"> </w:t>
      </w:r>
    </w:p>
    <w:p w:rsidR="00081933" w:rsidRDefault="00081933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註四：</w:t>
      </w:r>
      <w:hyperlink r:id="rId20" w:history="1">
        <w:r w:rsidRPr="00F66FA3">
          <w:rPr>
            <w:rStyle w:val="a5"/>
            <w:rFonts w:ascii="標楷體" w:eastAsia="標楷體" w:hAnsi="標楷體" w:cs="Times New Roman"/>
            <w:kern w:val="0"/>
            <w:szCs w:val="24"/>
          </w:rPr>
          <w:t>https://github.com/wucy1/Knowledge-Grid-Chinese-Manual/blob/master/KO-samples/Input-Messages.txt</w:t>
        </w:r>
      </w:hyperlink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 xml:space="preserve"> </w:t>
      </w:r>
    </w:p>
    <w:p w:rsidR="00081933" w:rsidRDefault="00081933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註五：</w:t>
      </w:r>
      <w:hyperlink r:id="rId21" w:history="1">
        <w:r w:rsidRPr="00F66FA3">
          <w:rPr>
            <w:rStyle w:val="a5"/>
            <w:rFonts w:ascii="標楷體" w:eastAsia="標楷體" w:hAnsi="標楷體" w:cs="Times New Roman"/>
            <w:kern w:val="0"/>
            <w:szCs w:val="24"/>
          </w:rPr>
          <w:t>https://github.com/wucy1/Knowledge-Grid-Chinese-Manual/blob/master/KO-samples/Output-Messages.txt</w:t>
        </w:r>
      </w:hyperlink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 xml:space="preserve"> </w:t>
      </w:r>
      <w:bookmarkStart w:id="0" w:name="_GoBack"/>
      <w:bookmarkEnd w:id="0"/>
    </w:p>
    <w:p w:rsidR="00975F59" w:rsidRPr="0079382C" w:rsidRDefault="00975F59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</w:p>
    <w:p w:rsidR="00475F3D" w:rsidRDefault="00502C8F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誌謝：</w:t>
      </w:r>
    </w:p>
    <w:p w:rsidR="00502C8F" w:rsidRPr="001B0A83" w:rsidRDefault="00502C8F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知識網格中文技術手冊之編寫係由以下單位及計畫支持 -</w:t>
      </w:r>
    </w:p>
    <w:p w:rsidR="006430CE" w:rsidRPr="00502C8F" w:rsidRDefault="006430CE" w:rsidP="00AA11F4">
      <w:pPr>
        <w:widowControl/>
        <w:shd w:val="clear" w:color="auto" w:fill="FFFFFF"/>
        <w:rPr>
          <w:rFonts w:ascii="標楷體" w:eastAsia="標楷體" w:hAnsi="標楷體" w:cs="Arial"/>
          <w:szCs w:val="24"/>
          <w:shd w:val="clear" w:color="auto" w:fill="FFFFFF"/>
        </w:rPr>
      </w:pPr>
      <w:r w:rsidRPr="00502C8F">
        <w:rPr>
          <w:rFonts w:ascii="標楷體" w:eastAsia="標楷體" w:hAnsi="標楷體" w:cs="Arial" w:hint="eastAsia"/>
          <w:szCs w:val="24"/>
          <w:shd w:val="clear" w:color="auto" w:fill="FFFFFF"/>
        </w:rPr>
        <w:t>臺北醫學大學健康資訊科技國際研究中心</w:t>
      </w:r>
    </w:p>
    <w:p w:rsidR="00475F3D" w:rsidRPr="00502C8F" w:rsidRDefault="00475F3D" w:rsidP="00AA11F4">
      <w:pPr>
        <w:widowControl/>
        <w:shd w:val="clear" w:color="auto" w:fill="FFFFFF"/>
        <w:rPr>
          <w:rFonts w:ascii="標楷體" w:eastAsia="標楷體" w:hAnsi="標楷體" w:cs="微軟正黑體"/>
          <w:szCs w:val="24"/>
          <w:shd w:val="clear" w:color="auto" w:fill="FFFFFF"/>
        </w:rPr>
      </w:pPr>
      <w:r w:rsidRPr="00502C8F">
        <w:rPr>
          <w:rFonts w:ascii="標楷體" w:eastAsia="標楷體" w:hAnsi="標楷體" w:cs="Arial" w:hint="eastAsia"/>
          <w:szCs w:val="24"/>
          <w:shd w:val="clear" w:color="auto" w:fill="FFFFFF"/>
        </w:rPr>
        <w:t>國家衛生研究院</w:t>
      </w:r>
      <w:r w:rsidR="00502C8F">
        <w:rPr>
          <w:rFonts w:ascii="標楷體" w:eastAsia="標楷體" w:hAnsi="標楷體" w:cs="Arial" w:hint="eastAsia"/>
          <w:szCs w:val="24"/>
          <w:shd w:val="clear" w:color="auto" w:fill="FFFFFF"/>
        </w:rPr>
        <w:t>-</w:t>
      </w:r>
      <w:r w:rsidR="00502C8F" w:rsidRPr="00502C8F">
        <w:rPr>
          <w:rFonts w:ascii="標楷體" w:eastAsia="標楷體" w:hAnsi="標楷體" w:cs="微軟正黑體" w:hint="eastAsia"/>
          <w:shd w:val="clear" w:color="auto" w:fill="FFFFFF"/>
        </w:rPr>
        <w:t>「</w:t>
      </w:r>
      <w:r w:rsidRPr="00502C8F">
        <w:rPr>
          <w:rFonts w:ascii="標楷體" w:eastAsia="標楷體" w:hAnsi="標楷體" w:cs="Arial"/>
          <w:szCs w:val="24"/>
          <w:shd w:val="clear" w:color="auto" w:fill="FFFFFF"/>
        </w:rPr>
        <w:t>亞太生醫矽谷精準醫療旗艦計</w:t>
      </w:r>
      <w:r w:rsidRPr="00502C8F">
        <w:rPr>
          <w:rFonts w:ascii="標楷體" w:eastAsia="標楷體" w:hAnsi="標楷體" w:cs="微軟正黑體" w:hint="eastAsia"/>
          <w:szCs w:val="24"/>
          <w:shd w:val="clear" w:color="auto" w:fill="FFFFFF"/>
        </w:rPr>
        <w:t>畫</w:t>
      </w:r>
      <w:r w:rsidR="006430CE" w:rsidRPr="00502C8F">
        <w:rPr>
          <w:rFonts w:ascii="標楷體" w:eastAsia="標楷體" w:hAnsi="標楷體" w:cs="微軟正黑體" w:hint="eastAsia"/>
          <w:szCs w:val="24"/>
          <w:shd w:val="clear" w:color="auto" w:fill="FFFFFF"/>
        </w:rPr>
        <w:t>-臺北醫學大學合作案</w:t>
      </w:r>
      <w:r w:rsidR="00502C8F" w:rsidRPr="00502C8F">
        <w:rPr>
          <w:rFonts w:ascii="標楷體" w:eastAsia="標楷體" w:hAnsi="標楷體" w:cs="微軟正黑體" w:hint="eastAsia"/>
          <w:shd w:val="clear" w:color="auto" w:fill="FFFFFF"/>
        </w:rPr>
        <w:t>」</w:t>
      </w:r>
    </w:p>
    <w:p w:rsidR="00502C8F" w:rsidRPr="00502C8F" w:rsidRDefault="00502C8F" w:rsidP="00AA11F4">
      <w:pPr>
        <w:widowControl/>
        <w:shd w:val="clear" w:color="auto" w:fill="FFFFFF"/>
        <w:rPr>
          <w:rFonts w:ascii="標楷體" w:eastAsia="標楷體" w:hAnsi="標楷體" w:cs="Arial"/>
          <w:szCs w:val="24"/>
          <w:shd w:val="clear" w:color="auto" w:fill="FFFFFF"/>
        </w:rPr>
      </w:pPr>
      <w:r w:rsidRPr="00502C8F">
        <w:rPr>
          <w:rFonts w:ascii="標楷體" w:eastAsia="標楷體" w:hAnsi="標楷體" w:cs="Arial"/>
          <w:shd w:val="clear" w:color="auto" w:fill="FFFFFF"/>
        </w:rPr>
        <w:t>臺北醫學大學-市立萬芳醫院專題研究計</w:t>
      </w:r>
      <w:r w:rsidRPr="00502C8F">
        <w:rPr>
          <w:rFonts w:ascii="標楷體" w:eastAsia="標楷體" w:hAnsi="標楷體" w:cs="微軟正黑體" w:hint="eastAsia"/>
          <w:shd w:val="clear" w:color="auto" w:fill="FFFFFF"/>
        </w:rPr>
        <w:t>畫</w:t>
      </w:r>
      <w:r>
        <w:rPr>
          <w:rFonts w:ascii="標楷體" w:eastAsia="標楷體" w:hAnsi="標楷體" w:cs="微軟正黑體"/>
          <w:shd w:val="clear" w:color="auto" w:fill="FFFFFF"/>
        </w:rPr>
        <w:t>-</w:t>
      </w:r>
      <w:r w:rsidRPr="00502C8F">
        <w:rPr>
          <w:rFonts w:ascii="標楷體" w:eastAsia="標楷體" w:hAnsi="標楷體" w:cs="微軟正黑體" w:hint="eastAsia"/>
          <w:shd w:val="clear" w:color="auto" w:fill="FFFFFF"/>
        </w:rPr>
        <w:t>「打造亞太第一家學習型健康系統醫院」</w:t>
      </w:r>
    </w:p>
    <w:sectPr w:rsidR="00502C8F" w:rsidRPr="00502C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314" w:rsidRDefault="00AF7314" w:rsidP="003B41C3">
      <w:r>
        <w:separator/>
      </w:r>
    </w:p>
  </w:endnote>
  <w:endnote w:type="continuationSeparator" w:id="0">
    <w:p w:rsidR="00AF7314" w:rsidRDefault="00AF7314" w:rsidP="003B4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314" w:rsidRDefault="00AF7314" w:rsidP="003B41C3">
      <w:r>
        <w:separator/>
      </w:r>
    </w:p>
  </w:footnote>
  <w:footnote w:type="continuationSeparator" w:id="0">
    <w:p w:rsidR="00AF7314" w:rsidRDefault="00AF7314" w:rsidP="003B4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E8FF4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4332543"/>
    <w:multiLevelType w:val="hybridMultilevel"/>
    <w:tmpl w:val="19DA02A8"/>
    <w:lvl w:ilvl="0" w:tplc="B7F6C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F0"/>
    <w:rsid w:val="00005F8A"/>
    <w:rsid w:val="000316F0"/>
    <w:rsid w:val="00070227"/>
    <w:rsid w:val="00073EE7"/>
    <w:rsid w:val="00081933"/>
    <w:rsid w:val="00081EC7"/>
    <w:rsid w:val="000E7353"/>
    <w:rsid w:val="00151638"/>
    <w:rsid w:val="00152DB1"/>
    <w:rsid w:val="00170EA1"/>
    <w:rsid w:val="0017428F"/>
    <w:rsid w:val="001B0A83"/>
    <w:rsid w:val="001D344A"/>
    <w:rsid w:val="001E72E7"/>
    <w:rsid w:val="00212632"/>
    <w:rsid w:val="00246D92"/>
    <w:rsid w:val="002C50D1"/>
    <w:rsid w:val="0032641F"/>
    <w:rsid w:val="00350601"/>
    <w:rsid w:val="00354042"/>
    <w:rsid w:val="00393382"/>
    <w:rsid w:val="003934ED"/>
    <w:rsid w:val="00397EBC"/>
    <w:rsid w:val="003B20B1"/>
    <w:rsid w:val="003B41C3"/>
    <w:rsid w:val="00475F3D"/>
    <w:rsid w:val="004A0A26"/>
    <w:rsid w:val="00502C8F"/>
    <w:rsid w:val="005A326F"/>
    <w:rsid w:val="005A5136"/>
    <w:rsid w:val="005B0698"/>
    <w:rsid w:val="005E7975"/>
    <w:rsid w:val="0060261F"/>
    <w:rsid w:val="006430CE"/>
    <w:rsid w:val="006E0583"/>
    <w:rsid w:val="00756338"/>
    <w:rsid w:val="00756637"/>
    <w:rsid w:val="0079382C"/>
    <w:rsid w:val="008738E7"/>
    <w:rsid w:val="008A5DFA"/>
    <w:rsid w:val="008C1E1F"/>
    <w:rsid w:val="008E3457"/>
    <w:rsid w:val="008F059E"/>
    <w:rsid w:val="0090735D"/>
    <w:rsid w:val="0092225B"/>
    <w:rsid w:val="0096363F"/>
    <w:rsid w:val="009639DE"/>
    <w:rsid w:val="00975F59"/>
    <w:rsid w:val="009A0698"/>
    <w:rsid w:val="009E4072"/>
    <w:rsid w:val="009F60D6"/>
    <w:rsid w:val="00A62202"/>
    <w:rsid w:val="00A9292B"/>
    <w:rsid w:val="00AA11F4"/>
    <w:rsid w:val="00AF7314"/>
    <w:rsid w:val="00B422A5"/>
    <w:rsid w:val="00B75B75"/>
    <w:rsid w:val="00C04246"/>
    <w:rsid w:val="00C72B31"/>
    <w:rsid w:val="00D01121"/>
    <w:rsid w:val="00D071FF"/>
    <w:rsid w:val="00D536CB"/>
    <w:rsid w:val="00D82FC4"/>
    <w:rsid w:val="00DA3BB7"/>
    <w:rsid w:val="00DB4FE4"/>
    <w:rsid w:val="00DE29C2"/>
    <w:rsid w:val="00DE44F6"/>
    <w:rsid w:val="00E102EB"/>
    <w:rsid w:val="00E45BBC"/>
    <w:rsid w:val="00E60304"/>
    <w:rsid w:val="00E652D0"/>
    <w:rsid w:val="00ED0C8C"/>
    <w:rsid w:val="00F4161A"/>
    <w:rsid w:val="00F9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C0EE9"/>
  <w15:chartTrackingRefBased/>
  <w15:docId w15:val="{54180388-9CE9-442E-B082-05EA202A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90735D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32641F"/>
    <w:pPr>
      <w:ind w:leftChars="200" w:left="480"/>
    </w:pPr>
  </w:style>
  <w:style w:type="character" w:styleId="a5">
    <w:name w:val="Hyperlink"/>
    <w:basedOn w:val="a1"/>
    <w:uiPriority w:val="99"/>
    <w:unhideWhenUsed/>
    <w:rsid w:val="0032641F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354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1"/>
    <w:link w:val="HTML"/>
    <w:uiPriority w:val="99"/>
    <w:semiHidden/>
    <w:rsid w:val="00354042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354042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0"/>
    <w:link w:val="a7"/>
    <w:uiPriority w:val="99"/>
    <w:unhideWhenUsed/>
    <w:rsid w:val="003B41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3B41C3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3B41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3B41C3"/>
    <w:rPr>
      <w:sz w:val="20"/>
      <w:szCs w:val="20"/>
    </w:rPr>
  </w:style>
  <w:style w:type="table" w:styleId="aa">
    <w:name w:val="Table Grid"/>
    <w:basedOn w:val="a2"/>
    <w:uiPriority w:val="39"/>
    <w:rsid w:val="008C1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232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00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cpicpgx.org/content/guideline/publication/warfarin/2017/warfarin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wucy1/Knowledge-Grid-Chinese-Manual/blob/master/KO-samples/Output-Messages.tx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wucy1/Knowledge-Grid-Chinese-Manual/blob/master/KO-samples/Wafrain_dosing_pediatric_ko.tx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wucy1/Knowledge-Grid-Chinese-Manual/blob/master/KO-samples/Input-Messages.tx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github.com/wucy1/Knowledge-Grid-Chinese-Manual/blob/master/KO-samples/Wafrain_dosing_pediatric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5</Pages>
  <Words>386</Words>
  <Characters>2206</Characters>
  <Application>Microsoft Office Word</Application>
  <DocSecurity>0</DocSecurity>
  <Lines>18</Lines>
  <Paragraphs>5</Paragraphs>
  <ScaleCrop>false</ScaleCrop>
  <Company>Toshiba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9</cp:revision>
  <dcterms:created xsi:type="dcterms:W3CDTF">2018-01-03T01:58:00Z</dcterms:created>
  <dcterms:modified xsi:type="dcterms:W3CDTF">2018-01-05T09:06:00Z</dcterms:modified>
</cp:coreProperties>
</file>