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19E" w:rsidRDefault="008E019E" w:rsidP="00E05A3C">
      <w:pPr>
        <w:widowControl/>
        <w:shd w:val="clear" w:color="auto" w:fill="FFFFFF"/>
        <w:jc w:val="center"/>
        <w:rPr>
          <w:rFonts w:ascii="標楷體" w:eastAsia="標楷體" w:hAnsi="標楷體" w:cs="新細明體" w:hint="eastAsia"/>
          <w:b/>
          <w:color w:val="555555"/>
          <w:spacing w:val="8"/>
          <w:kern w:val="36"/>
          <w:szCs w:val="24"/>
        </w:rPr>
      </w:pPr>
      <w:r w:rsidRPr="008E019E">
        <w:rPr>
          <w:rFonts w:ascii="標楷體" w:eastAsia="標楷體" w:hAnsi="標楷體" w:cs="新細明體" w:hint="eastAsia"/>
          <w:b/>
          <w:color w:val="555555"/>
          <w:spacing w:val="8"/>
          <w:kern w:val="36"/>
          <w:szCs w:val="24"/>
        </w:rPr>
        <w:t>知識網格</w:t>
      </w:r>
      <w:r>
        <w:rPr>
          <w:rFonts w:ascii="標楷體" w:eastAsia="標楷體" w:hAnsi="標楷體" w:cs="新細明體" w:hint="eastAsia"/>
          <w:b/>
          <w:color w:val="555555"/>
          <w:spacing w:val="8"/>
          <w:kern w:val="36"/>
          <w:szCs w:val="24"/>
        </w:rPr>
        <w:t>工作原理、應用範例與參考資源</w:t>
      </w:r>
    </w:p>
    <w:p w:rsidR="00E05A3C" w:rsidRPr="00D071FF" w:rsidRDefault="00E05A3C" w:rsidP="00E05A3C">
      <w:pPr>
        <w:wordWrap w:val="0"/>
        <w:jc w:val="right"/>
        <w:rPr>
          <w:rFonts w:eastAsia="標楷體"/>
          <w:szCs w:val="24"/>
        </w:rPr>
      </w:pPr>
      <w:r>
        <w:rPr>
          <w:rFonts w:eastAsia="標楷體"/>
          <w:szCs w:val="24"/>
        </w:rPr>
        <w:t xml:space="preserve">Ver. </w:t>
      </w:r>
      <w:r>
        <w:rPr>
          <w:rFonts w:eastAsia="標楷體" w:hint="eastAsia"/>
          <w:szCs w:val="24"/>
        </w:rPr>
        <w:t>0</w:t>
      </w:r>
      <w:r>
        <w:rPr>
          <w:rFonts w:eastAsia="標楷體"/>
          <w:szCs w:val="24"/>
        </w:rPr>
        <w:t>.</w:t>
      </w:r>
      <w:r>
        <w:rPr>
          <w:rFonts w:eastAsia="標楷體"/>
          <w:szCs w:val="24"/>
        </w:rPr>
        <w:t>1</w:t>
      </w:r>
      <w:bookmarkStart w:id="0" w:name="_GoBack"/>
      <w:bookmarkEnd w:id="0"/>
      <w:r>
        <w:rPr>
          <w:rFonts w:eastAsia="標楷體"/>
          <w:szCs w:val="24"/>
        </w:rPr>
        <w:t xml:space="preserve"> 2017.12.21</w:t>
      </w:r>
    </w:p>
    <w:p w:rsidR="00E05A3C" w:rsidRPr="00D071FF" w:rsidRDefault="00E05A3C" w:rsidP="00E05A3C">
      <w:pPr>
        <w:jc w:val="center"/>
        <w:rPr>
          <w:rFonts w:eastAsia="標楷體"/>
          <w:szCs w:val="24"/>
        </w:rPr>
      </w:pPr>
      <w:r w:rsidRPr="00D071FF">
        <w:rPr>
          <w:rFonts w:eastAsia="標楷體"/>
          <w:szCs w:val="24"/>
        </w:rPr>
        <w:t>wucy1 @ github</w:t>
      </w:r>
    </w:p>
    <w:p w:rsidR="00E05A3C" w:rsidRPr="008E019E" w:rsidRDefault="00E05A3C" w:rsidP="008E019E">
      <w:pPr>
        <w:widowControl/>
        <w:shd w:val="clear" w:color="auto" w:fill="FFFFFF"/>
        <w:jc w:val="both"/>
        <w:rPr>
          <w:rFonts w:ascii="標楷體" w:eastAsia="標楷體" w:hAnsi="標楷體" w:cs="新細明體" w:hint="eastAsia"/>
          <w:b/>
          <w:color w:val="555555"/>
          <w:spacing w:val="8"/>
          <w:kern w:val="36"/>
          <w:szCs w:val="24"/>
        </w:rPr>
      </w:pPr>
    </w:p>
    <w:p w:rsidR="008E019E" w:rsidRPr="008E019E" w:rsidRDefault="008E019E" w:rsidP="008E019E">
      <w:pPr>
        <w:widowControl/>
        <w:shd w:val="clear" w:color="auto" w:fill="FFFFFF"/>
        <w:jc w:val="both"/>
        <w:rPr>
          <w:rFonts w:ascii="標楷體" w:eastAsia="標楷體" w:hAnsi="標楷體" w:cs="新細明體"/>
          <w:b/>
          <w:color w:val="555555"/>
          <w:spacing w:val="8"/>
          <w:kern w:val="36"/>
          <w:szCs w:val="24"/>
        </w:rPr>
      </w:pPr>
      <w:r w:rsidRPr="008E019E">
        <w:rPr>
          <w:rFonts w:ascii="標楷體" w:eastAsia="標楷體" w:hAnsi="標楷體" w:cs="新細明體" w:hint="eastAsia"/>
          <w:b/>
          <w:color w:val="555555"/>
          <w:spacing w:val="8"/>
          <w:kern w:val="36"/>
          <w:szCs w:val="24"/>
        </w:rPr>
        <w:t>一、工作原理</w:t>
      </w:r>
    </w:p>
    <w:p w:rsidR="008E019E" w:rsidRPr="008E019E" w:rsidRDefault="008E019E" w:rsidP="008E019E">
      <w:pPr>
        <w:widowControl/>
        <w:shd w:val="clear" w:color="auto" w:fill="FFFFFF"/>
        <w:jc w:val="both"/>
        <w:rPr>
          <w:rFonts w:ascii="標楷體" w:eastAsia="標楷體" w:hAnsi="標楷體" w:cs="新細明體"/>
          <w:b/>
          <w:color w:val="555555"/>
          <w:spacing w:val="8"/>
          <w:kern w:val="36"/>
          <w:szCs w:val="24"/>
        </w:rPr>
      </w:pPr>
      <w:r w:rsidRPr="008E019E">
        <w:rPr>
          <w:rFonts w:ascii="標楷體" w:eastAsia="標楷體" w:hAnsi="標楷體" w:cs="新細明體" w:hint="eastAsia"/>
          <w:b/>
          <w:color w:val="555555"/>
          <w:spacing w:val="8"/>
          <w:kern w:val="36"/>
          <w:szCs w:val="24"/>
        </w:rPr>
        <w:t>1. 簡介</w:t>
      </w:r>
    </w:p>
    <w:p w:rsidR="008E019E" w:rsidRPr="008E019E" w:rsidRDefault="008E019E" w:rsidP="008E019E">
      <w:pPr>
        <w:widowControl/>
        <w:shd w:val="clear" w:color="auto" w:fill="FFFFFF"/>
        <w:jc w:val="center"/>
        <w:rPr>
          <w:rFonts w:ascii="標楷體" w:eastAsia="標楷體" w:hAnsi="標楷體" w:cs="新細明體"/>
          <w:color w:val="555555"/>
          <w:spacing w:val="8"/>
          <w:szCs w:val="24"/>
        </w:rPr>
      </w:pPr>
      <w:r w:rsidRPr="008E019E">
        <w:rPr>
          <w:rFonts w:ascii="標楷體" w:eastAsia="標楷體" w:hAnsi="標楷體" w:cs="新細明體" w:hint="eastAsia"/>
          <w:noProof/>
          <w:color w:val="555555"/>
          <w:spacing w:val="8"/>
          <w:szCs w:val="24"/>
        </w:rPr>
        <w:drawing>
          <wp:anchor distT="0" distB="0" distL="114300" distR="114300" simplePos="0" relativeHeight="251659264" behindDoc="0" locked="0" layoutInCell="1" allowOverlap="1" wp14:anchorId="74C13D10" wp14:editId="34508AE6">
            <wp:simplePos x="1141171" y="1909267"/>
            <wp:positionH relativeFrom="column">
              <wp:align>left</wp:align>
            </wp:positionH>
            <wp:positionV relativeFrom="paragraph">
              <wp:align>top</wp:align>
            </wp:positionV>
            <wp:extent cx="4920018" cy="1432737"/>
            <wp:effectExtent l="0" t="0" r="0" b="0"/>
            <wp:wrapSquare wrapText="bothSides"/>
            <wp:docPr id="4" name="圖片 4" descr="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for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0018" cy="1432737"/>
                    </a:xfrm>
                    <a:prstGeom prst="rect">
                      <a:avLst/>
                    </a:prstGeom>
                    <a:noFill/>
                    <a:ln>
                      <a:noFill/>
                    </a:ln>
                  </pic:spPr>
                </pic:pic>
              </a:graphicData>
            </a:graphic>
          </wp:anchor>
        </w:drawing>
      </w:r>
    </w:p>
    <w:p w:rsidR="008E019E" w:rsidRPr="008E019E" w:rsidRDefault="008E019E" w:rsidP="008E019E">
      <w:pPr>
        <w:jc w:val="center"/>
        <w:rPr>
          <w:rFonts w:ascii="標楷體" w:eastAsia="標楷體" w:hAnsi="標楷體" w:cs="新細明體"/>
          <w:szCs w:val="24"/>
        </w:rPr>
      </w:pPr>
    </w:p>
    <w:p w:rsidR="008E019E" w:rsidRPr="008E019E" w:rsidRDefault="008E019E" w:rsidP="008E019E">
      <w:pPr>
        <w:jc w:val="center"/>
        <w:rPr>
          <w:rFonts w:ascii="標楷體" w:eastAsia="標楷體" w:hAnsi="標楷體" w:cs="新細明體"/>
          <w:szCs w:val="24"/>
        </w:rPr>
      </w:pPr>
    </w:p>
    <w:p w:rsidR="008E019E" w:rsidRPr="008E019E" w:rsidRDefault="008E019E" w:rsidP="008E019E">
      <w:pPr>
        <w:jc w:val="center"/>
        <w:rPr>
          <w:rFonts w:ascii="標楷體" w:eastAsia="標楷體" w:hAnsi="標楷體" w:cs="新細明體"/>
          <w:szCs w:val="24"/>
        </w:rPr>
      </w:pPr>
    </w:p>
    <w:p w:rsidR="008E019E" w:rsidRPr="008E019E" w:rsidRDefault="008E019E" w:rsidP="008E019E">
      <w:pPr>
        <w:jc w:val="center"/>
        <w:rPr>
          <w:rFonts w:ascii="標楷體" w:eastAsia="標楷體" w:hAnsi="標楷體" w:cs="新細明體"/>
          <w:szCs w:val="24"/>
        </w:rPr>
      </w:pPr>
    </w:p>
    <w:p w:rsidR="008E019E" w:rsidRPr="008E019E" w:rsidRDefault="008E019E" w:rsidP="008E019E">
      <w:pPr>
        <w:widowControl/>
        <w:shd w:val="clear" w:color="auto" w:fill="FFFFFF"/>
        <w:jc w:val="center"/>
        <w:rPr>
          <w:rFonts w:ascii="標楷體" w:eastAsia="標楷體" w:hAnsi="標楷體" w:cs="新細明體"/>
          <w:color w:val="555555"/>
          <w:spacing w:val="8"/>
          <w:szCs w:val="24"/>
        </w:rPr>
      </w:pPr>
    </w:p>
    <w:p w:rsidR="008E019E" w:rsidRPr="008E019E" w:rsidRDefault="008E019E" w:rsidP="008E019E">
      <w:pPr>
        <w:widowControl/>
        <w:shd w:val="clear" w:color="auto" w:fill="FFFFFF"/>
        <w:jc w:val="center"/>
        <w:rPr>
          <w:rFonts w:ascii="標楷體" w:eastAsia="標楷體" w:hAnsi="標楷體" w:cs="新細明體"/>
          <w:color w:val="555555"/>
          <w:spacing w:val="8"/>
          <w:szCs w:val="24"/>
        </w:rPr>
      </w:pPr>
      <w:r w:rsidRPr="008E019E">
        <w:rPr>
          <w:rFonts w:ascii="標楷體" w:eastAsia="標楷體" w:hAnsi="標楷體" w:cs="新細明體"/>
          <w:color w:val="555555"/>
          <w:spacing w:val="8"/>
          <w:szCs w:val="24"/>
        </w:rPr>
        <w:br w:type="textWrapping" w:clear="all"/>
      </w:r>
      <w:r w:rsidRPr="008E019E">
        <w:rPr>
          <w:rFonts w:ascii="標楷體" w:eastAsia="標楷體" w:hAnsi="標楷體" w:cs="新細明體" w:hint="eastAsia"/>
          <w:color w:val="555555"/>
          <w:spacing w:val="8"/>
          <w:szCs w:val="24"/>
        </w:rPr>
        <w:t>圖一、知識網格主要構成部分，包含知識元件、元件庫以及元件活化(取自</w:t>
      </w:r>
      <w:r w:rsidRPr="008E019E">
        <w:rPr>
          <w:rFonts w:ascii="標楷體" w:eastAsia="標楷體" w:hAnsi="標楷體" w:cs="新細明體"/>
          <w:color w:val="555555"/>
          <w:spacing w:val="8"/>
          <w:szCs w:val="24"/>
        </w:rPr>
        <w:t>http://kgrid.org/tools.html#introduction</w:t>
      </w:r>
      <w:r w:rsidRPr="008E019E">
        <w:rPr>
          <w:rFonts w:ascii="標楷體" w:eastAsia="標楷體" w:hAnsi="標楷體" w:cs="新細明體" w:hint="eastAsia"/>
          <w:color w:val="555555"/>
          <w:spacing w:val="8"/>
          <w:szCs w:val="24"/>
        </w:rPr>
        <w:t>)</w:t>
      </w:r>
    </w:p>
    <w:p w:rsidR="008E019E" w:rsidRPr="008E019E" w:rsidRDefault="008E019E" w:rsidP="008E019E">
      <w:pPr>
        <w:widowControl/>
        <w:shd w:val="clear" w:color="auto" w:fill="FFFFFF"/>
        <w:jc w:val="both"/>
        <w:rPr>
          <w:rFonts w:ascii="標楷體" w:eastAsia="標楷體" w:hAnsi="標楷體" w:cs="新細明體"/>
          <w:color w:val="555555"/>
          <w:spacing w:val="8"/>
          <w:szCs w:val="24"/>
        </w:rPr>
      </w:pPr>
    </w:p>
    <w:p w:rsidR="008E019E" w:rsidRPr="008E019E" w:rsidRDefault="008E019E" w:rsidP="008E019E">
      <w:pPr>
        <w:widowControl/>
        <w:shd w:val="clear" w:color="auto" w:fill="FFFFFF"/>
        <w:jc w:val="both"/>
        <w:outlineLvl w:val="3"/>
        <w:rPr>
          <w:rFonts w:ascii="標楷體" w:eastAsia="標楷體" w:hAnsi="標楷體" w:cs="新細明體"/>
          <w:color w:val="555555"/>
          <w:spacing w:val="8"/>
          <w:szCs w:val="24"/>
        </w:rPr>
      </w:pPr>
      <w:r w:rsidRPr="008E019E">
        <w:rPr>
          <w:rFonts w:ascii="標楷體" w:eastAsia="標楷體" w:hAnsi="標楷體" w:cs="新細明體" w:hint="eastAsia"/>
          <w:color w:val="555555"/>
          <w:spacing w:val="8"/>
          <w:szCs w:val="24"/>
        </w:rPr>
        <w:t>知識網格(</w:t>
      </w:r>
      <w:r w:rsidRPr="008E019E">
        <w:rPr>
          <w:rFonts w:ascii="標楷體" w:eastAsia="標楷體" w:hAnsi="標楷體" w:cs="新細明體"/>
          <w:color w:val="555555"/>
          <w:spacing w:val="8"/>
          <w:szCs w:val="24"/>
        </w:rPr>
        <w:t>Knowledge Grid</w:t>
      </w:r>
      <w:r w:rsidRPr="008E019E">
        <w:rPr>
          <w:rFonts w:ascii="標楷體" w:eastAsia="標楷體" w:hAnsi="標楷體" w:cs="新細明體" w:hint="eastAsia"/>
          <w:color w:val="555555"/>
          <w:spacing w:val="8"/>
          <w:szCs w:val="24"/>
        </w:rPr>
        <w:t>)的運作原理如</w:t>
      </w:r>
      <w:r w:rsidRPr="008E019E">
        <w:rPr>
          <w:rFonts w:ascii="標楷體" w:eastAsia="標楷體" w:hAnsi="標楷體" w:cs="新細明體"/>
          <w:color w:val="555555"/>
          <w:spacing w:val="8"/>
          <w:szCs w:val="24"/>
        </w:rPr>
        <w:t>下</w:t>
      </w:r>
      <w:r w:rsidRPr="008E019E">
        <w:rPr>
          <w:rFonts w:ascii="標楷體" w:eastAsia="標楷體" w:hAnsi="標楷體" w:cs="新細明體" w:hint="eastAsia"/>
          <w:color w:val="555555"/>
          <w:spacing w:val="8"/>
          <w:szCs w:val="24"/>
        </w:rPr>
        <w:t>，首先將健康知識轉化為計算機可處理的形式，即</w:t>
      </w:r>
      <w:r w:rsidRPr="008E019E">
        <w:rPr>
          <w:rFonts w:ascii="標楷體" w:eastAsia="標楷體" w:hAnsi="標楷體" w:cs="新細明體" w:hint="eastAsia"/>
          <w:b/>
          <w:color w:val="555555"/>
          <w:spacing w:val="8"/>
          <w:szCs w:val="24"/>
        </w:rPr>
        <w:t>知識元</w:t>
      </w:r>
      <w:r w:rsidRPr="008E019E">
        <w:rPr>
          <w:rFonts w:ascii="標楷體" w:eastAsia="標楷體" w:hAnsi="標楷體" w:cs="新細明體"/>
          <w:b/>
          <w:color w:val="555555"/>
          <w:spacing w:val="8"/>
          <w:szCs w:val="24"/>
        </w:rPr>
        <w:t>件</w:t>
      </w:r>
      <w:r w:rsidRPr="008E019E">
        <w:rPr>
          <w:rFonts w:ascii="標楷體" w:eastAsia="標楷體" w:hAnsi="標楷體" w:cs="新細明體" w:hint="eastAsia"/>
          <w:b/>
          <w:color w:val="555555"/>
          <w:spacing w:val="8"/>
          <w:szCs w:val="24"/>
        </w:rPr>
        <w:t>(</w:t>
      </w:r>
      <w:r w:rsidRPr="008E019E">
        <w:rPr>
          <w:rFonts w:ascii="標楷體" w:eastAsia="標楷體" w:hAnsi="標楷體" w:cs="新細明體"/>
          <w:b/>
          <w:color w:val="555555"/>
          <w:spacing w:val="8"/>
          <w:szCs w:val="24"/>
        </w:rPr>
        <w:t>Knowledge Object</w:t>
      </w:r>
      <w:r w:rsidRPr="008E019E">
        <w:rPr>
          <w:rFonts w:ascii="標楷體" w:eastAsia="標楷體" w:hAnsi="標楷體" w:cs="新細明體" w:hint="eastAsia"/>
          <w:b/>
          <w:color w:val="555555"/>
          <w:spacing w:val="8"/>
          <w:szCs w:val="24"/>
        </w:rPr>
        <w:t>)</w:t>
      </w:r>
      <w:r w:rsidRPr="008E019E">
        <w:rPr>
          <w:rFonts w:ascii="標楷體" w:eastAsia="標楷體" w:hAnsi="標楷體" w:cs="新細明體" w:hint="eastAsia"/>
          <w:color w:val="555555"/>
          <w:spacing w:val="8"/>
          <w:szCs w:val="24"/>
        </w:rPr>
        <w:t>，並添加到數位元件庫(</w:t>
      </w:r>
      <w:r w:rsidRPr="008E019E">
        <w:rPr>
          <w:rFonts w:ascii="標楷體" w:eastAsia="標楷體" w:hAnsi="標楷體" w:cs="新細明體"/>
          <w:color w:val="555555"/>
          <w:spacing w:val="8"/>
          <w:szCs w:val="24"/>
        </w:rPr>
        <w:t>Object Library</w:t>
      </w:r>
      <w:r w:rsidRPr="008E019E">
        <w:rPr>
          <w:rFonts w:ascii="標楷體" w:eastAsia="標楷體" w:hAnsi="標楷體" w:cs="新細明體" w:hint="eastAsia"/>
          <w:color w:val="555555"/>
          <w:spacing w:val="8"/>
          <w:szCs w:val="24"/>
        </w:rPr>
        <w:t>)進行保護和管理；接下來，啟用元件活化器(Activator)作為系統</w:t>
      </w:r>
      <w:r w:rsidRPr="008E019E">
        <w:rPr>
          <w:rFonts w:ascii="標楷體" w:eastAsia="標楷體" w:hAnsi="標楷體" w:cs="新細明體"/>
          <w:color w:val="555555"/>
          <w:spacing w:val="8"/>
          <w:szCs w:val="24"/>
        </w:rPr>
        <w:t>服務</w:t>
      </w:r>
      <w:r w:rsidRPr="008E019E">
        <w:rPr>
          <w:rFonts w:ascii="標楷體" w:eastAsia="標楷體" w:hAnsi="標楷體" w:cs="新細明體" w:hint="eastAsia"/>
          <w:color w:val="555555"/>
          <w:spacing w:val="8"/>
          <w:szCs w:val="24"/>
        </w:rPr>
        <w:t>來部署這些知識元</w:t>
      </w:r>
      <w:r w:rsidRPr="008E019E">
        <w:rPr>
          <w:rFonts w:ascii="標楷體" w:eastAsia="標楷體" w:hAnsi="標楷體" w:cs="新細明體"/>
          <w:color w:val="555555"/>
          <w:spacing w:val="8"/>
          <w:szCs w:val="24"/>
        </w:rPr>
        <w:t>件</w:t>
      </w:r>
      <w:r w:rsidRPr="008E019E">
        <w:rPr>
          <w:rFonts w:ascii="標楷體" w:eastAsia="標楷體" w:hAnsi="標楷體" w:cs="新細明體" w:hint="eastAsia"/>
          <w:color w:val="555555"/>
          <w:spacing w:val="8"/>
          <w:szCs w:val="24"/>
        </w:rPr>
        <w:t>，並透過活化器來接收、處理外部的真實健康數據，並根據知識元件內容生</w:t>
      </w:r>
      <w:r w:rsidRPr="008E019E">
        <w:rPr>
          <w:rFonts w:ascii="標楷體" w:eastAsia="標楷體" w:hAnsi="標楷體" w:cs="新細明體"/>
          <w:color w:val="555555"/>
          <w:spacing w:val="8"/>
          <w:szCs w:val="24"/>
        </w:rPr>
        <w:t>成</w:t>
      </w:r>
      <w:r w:rsidRPr="008E019E">
        <w:rPr>
          <w:rFonts w:ascii="標楷體" w:eastAsia="標楷體" w:hAnsi="標楷體" w:cs="新細明體" w:hint="eastAsia"/>
          <w:color w:val="555555"/>
          <w:spacing w:val="8"/>
          <w:szCs w:val="24"/>
        </w:rPr>
        <w:t>對應的健康建議(見圖一)。</w:t>
      </w:r>
    </w:p>
    <w:p w:rsidR="008E019E" w:rsidRPr="008E019E" w:rsidRDefault="008E019E" w:rsidP="008E019E">
      <w:pPr>
        <w:widowControl/>
        <w:shd w:val="clear" w:color="auto" w:fill="FFFFFF"/>
        <w:jc w:val="both"/>
        <w:outlineLvl w:val="3"/>
        <w:rPr>
          <w:rFonts w:ascii="標楷體" w:eastAsia="標楷體" w:hAnsi="標楷體" w:cs="新細明體"/>
          <w:color w:val="555555"/>
          <w:spacing w:val="8"/>
          <w:szCs w:val="24"/>
        </w:rPr>
      </w:pPr>
    </w:p>
    <w:p w:rsidR="008E019E" w:rsidRPr="008E019E" w:rsidRDefault="008E019E" w:rsidP="008E019E">
      <w:pPr>
        <w:widowControl/>
        <w:jc w:val="both"/>
        <w:rPr>
          <w:rFonts w:ascii="標楷體" w:eastAsia="標楷體" w:hAnsi="標楷體" w:cs="新細明體"/>
          <w:b/>
          <w:color w:val="555555"/>
          <w:spacing w:val="8"/>
          <w:szCs w:val="24"/>
        </w:rPr>
      </w:pPr>
      <w:r w:rsidRPr="008E019E">
        <w:rPr>
          <w:rFonts w:ascii="標楷體" w:eastAsia="標楷體" w:hAnsi="標楷體" w:cs="新細明體" w:hint="eastAsia"/>
          <w:b/>
          <w:color w:val="555555"/>
          <w:spacing w:val="8"/>
          <w:kern w:val="36"/>
          <w:szCs w:val="24"/>
        </w:rPr>
        <w:t>2. 知識元</w:t>
      </w:r>
      <w:r w:rsidRPr="008E019E">
        <w:rPr>
          <w:rFonts w:ascii="標楷體" w:eastAsia="標楷體" w:hAnsi="標楷體" w:cs="新細明體"/>
          <w:b/>
          <w:color w:val="555555"/>
          <w:spacing w:val="8"/>
          <w:kern w:val="36"/>
          <w:szCs w:val="24"/>
        </w:rPr>
        <w:t>件</w:t>
      </w:r>
    </w:p>
    <w:p w:rsidR="008E019E" w:rsidRPr="008E019E" w:rsidRDefault="008E019E" w:rsidP="008E019E">
      <w:pPr>
        <w:widowControl/>
        <w:shd w:val="clear" w:color="auto" w:fill="FFFFFF"/>
        <w:jc w:val="center"/>
        <w:rPr>
          <w:rFonts w:ascii="標楷體" w:eastAsia="標楷體" w:hAnsi="標楷體" w:cs="新細明體"/>
          <w:color w:val="555555"/>
          <w:spacing w:val="8"/>
          <w:szCs w:val="24"/>
        </w:rPr>
      </w:pPr>
      <w:r w:rsidRPr="008E019E">
        <w:rPr>
          <w:rFonts w:ascii="標楷體" w:eastAsia="標楷體" w:hAnsi="標楷體" w:cs="新細明體" w:hint="eastAsia"/>
          <w:noProof/>
          <w:color w:val="555555"/>
          <w:spacing w:val="8"/>
          <w:szCs w:val="24"/>
        </w:rPr>
        <w:drawing>
          <wp:inline distT="0" distB="0" distL="0" distR="0" wp14:anchorId="10ED5C52" wp14:editId="7CFB6331">
            <wp:extent cx="4933960" cy="2956648"/>
            <wp:effectExtent l="0" t="0" r="0" b="0"/>
            <wp:docPr id="3" name="圖片 3" descr="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bjec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7561" cy="2964798"/>
                    </a:xfrm>
                    <a:prstGeom prst="rect">
                      <a:avLst/>
                    </a:prstGeom>
                    <a:noFill/>
                    <a:ln>
                      <a:noFill/>
                    </a:ln>
                  </pic:spPr>
                </pic:pic>
              </a:graphicData>
            </a:graphic>
          </wp:inline>
        </w:drawing>
      </w:r>
    </w:p>
    <w:p w:rsidR="008E019E" w:rsidRPr="008E019E" w:rsidRDefault="008E019E" w:rsidP="008E019E">
      <w:pPr>
        <w:widowControl/>
        <w:shd w:val="clear" w:color="auto" w:fill="FFFFFF"/>
        <w:jc w:val="center"/>
        <w:rPr>
          <w:rFonts w:ascii="標楷體" w:eastAsia="標楷體" w:hAnsi="標楷體" w:cs="新細明體"/>
          <w:color w:val="555555"/>
          <w:spacing w:val="8"/>
          <w:szCs w:val="24"/>
        </w:rPr>
      </w:pPr>
      <w:r w:rsidRPr="008E019E">
        <w:rPr>
          <w:rFonts w:ascii="標楷體" w:eastAsia="標楷體" w:hAnsi="標楷體" w:cs="新細明體" w:hint="eastAsia"/>
          <w:color w:val="555555"/>
          <w:spacing w:val="8"/>
          <w:szCs w:val="24"/>
        </w:rPr>
        <w:t>圖二、知識元件的組成(取自</w:t>
      </w:r>
      <w:r w:rsidRPr="008E019E">
        <w:rPr>
          <w:rFonts w:ascii="標楷體" w:eastAsia="標楷體" w:hAnsi="標楷體" w:cs="新細明體"/>
          <w:color w:val="555555"/>
          <w:spacing w:val="8"/>
          <w:szCs w:val="24"/>
        </w:rPr>
        <w:t>http://kgrid.org/tools.html#object</w:t>
      </w:r>
      <w:r w:rsidRPr="008E019E">
        <w:rPr>
          <w:rFonts w:ascii="標楷體" w:eastAsia="標楷體" w:hAnsi="標楷體" w:cs="新細明體" w:hint="eastAsia"/>
          <w:color w:val="555555"/>
          <w:spacing w:val="8"/>
          <w:szCs w:val="24"/>
        </w:rPr>
        <w:t>)</w:t>
      </w:r>
    </w:p>
    <w:p w:rsidR="008E019E" w:rsidRPr="008E019E" w:rsidRDefault="008E019E" w:rsidP="008E019E">
      <w:pPr>
        <w:widowControl/>
        <w:shd w:val="clear" w:color="auto" w:fill="FFFFFF"/>
        <w:jc w:val="both"/>
        <w:rPr>
          <w:rFonts w:ascii="標楷體" w:eastAsia="標楷體" w:hAnsi="標楷體" w:cs="新細明體"/>
          <w:color w:val="555555"/>
          <w:spacing w:val="8"/>
          <w:szCs w:val="24"/>
        </w:rPr>
      </w:pPr>
    </w:p>
    <w:p w:rsidR="008E019E" w:rsidRPr="008E019E" w:rsidRDefault="008E019E" w:rsidP="008E019E">
      <w:pPr>
        <w:widowControl/>
        <w:shd w:val="clear" w:color="auto" w:fill="FFFFFF"/>
        <w:jc w:val="both"/>
        <w:outlineLvl w:val="3"/>
        <w:rPr>
          <w:rFonts w:ascii="標楷體" w:eastAsia="標楷體" w:hAnsi="標楷體" w:cs="新細明體"/>
          <w:color w:val="555555"/>
          <w:spacing w:val="8"/>
          <w:szCs w:val="24"/>
        </w:rPr>
      </w:pPr>
      <w:r w:rsidRPr="008E019E">
        <w:rPr>
          <w:rFonts w:ascii="標楷體" w:eastAsia="標楷體" w:hAnsi="標楷體" w:cs="新細明體" w:hint="eastAsia"/>
          <w:color w:val="555555"/>
          <w:spacing w:val="8"/>
          <w:szCs w:val="24"/>
        </w:rPr>
        <w:lastRenderedPageBreak/>
        <w:t>知識元件以模組化、計算機可處理的形式來儲存知識，由知識有效負載(</w:t>
      </w:r>
      <w:r w:rsidRPr="008E019E">
        <w:rPr>
          <w:rFonts w:ascii="標楷體" w:eastAsia="標楷體" w:hAnsi="標楷體" w:cs="新細明體"/>
          <w:color w:val="555555"/>
          <w:spacing w:val="8"/>
          <w:szCs w:val="24"/>
        </w:rPr>
        <w:t>payload</w:t>
      </w:r>
      <w:r w:rsidRPr="008E019E">
        <w:rPr>
          <w:rFonts w:ascii="標楷體" w:eastAsia="標楷體" w:hAnsi="標楷體" w:cs="新細明體" w:hint="eastAsia"/>
          <w:color w:val="555555"/>
          <w:spacing w:val="8"/>
          <w:szCs w:val="24"/>
        </w:rPr>
        <w:t>)(編</w:t>
      </w:r>
      <w:r w:rsidRPr="008E019E">
        <w:rPr>
          <w:rFonts w:ascii="標楷體" w:eastAsia="標楷體" w:hAnsi="標楷體" w:cs="新細明體"/>
          <w:color w:val="555555"/>
          <w:spacing w:val="8"/>
          <w:szCs w:val="24"/>
        </w:rPr>
        <w:t>碼成</w:t>
      </w:r>
      <w:r w:rsidRPr="008E019E">
        <w:rPr>
          <w:rFonts w:ascii="標楷體" w:eastAsia="標楷體" w:hAnsi="標楷體" w:cs="新細明體" w:hint="eastAsia"/>
          <w:color w:val="555555"/>
          <w:spacing w:val="8"/>
          <w:szCs w:val="24"/>
        </w:rPr>
        <w:t>任何計算機語言或可計算格式)、詳細的描述(</w:t>
      </w:r>
      <w:r w:rsidRPr="008E019E">
        <w:rPr>
          <w:rFonts w:ascii="標楷體" w:eastAsia="標楷體" w:hAnsi="標楷體" w:cs="新細明體"/>
          <w:color w:val="555555"/>
          <w:spacing w:val="8"/>
          <w:szCs w:val="24"/>
        </w:rPr>
        <w:t>description</w:t>
      </w:r>
      <w:r w:rsidRPr="008E019E">
        <w:rPr>
          <w:rFonts w:ascii="標楷體" w:eastAsia="標楷體" w:hAnsi="標楷體" w:cs="新細明體" w:hint="eastAsia"/>
          <w:color w:val="555555"/>
          <w:spacing w:val="8"/>
          <w:szCs w:val="24"/>
        </w:rPr>
        <w:t>)及輸出入介面(</w:t>
      </w:r>
      <w:r w:rsidRPr="008E019E">
        <w:rPr>
          <w:rFonts w:ascii="標楷體" w:eastAsia="標楷體" w:hAnsi="標楷體" w:cs="新細明體"/>
          <w:color w:val="555555"/>
          <w:spacing w:val="8"/>
          <w:szCs w:val="24"/>
        </w:rPr>
        <w:t>interface</w:t>
      </w:r>
      <w:r w:rsidRPr="008E019E">
        <w:rPr>
          <w:rFonts w:ascii="標楷體" w:eastAsia="標楷體" w:hAnsi="標楷體" w:cs="新細明體" w:hint="eastAsia"/>
          <w:color w:val="555555"/>
          <w:spacing w:val="8"/>
          <w:szCs w:val="24"/>
        </w:rPr>
        <w:t>)三部分組成(見圖二)；將知識可計算化涉及將健康知識表示成生產規則、網路圖、結構化判斷、方程式以及機率的技術，一旦這些技術應用於將知識可執行化與可計算化，便產生知識有效負載，被包裹於知識元件之中；知識元件有效負載的例子包括預測模型、可計算化的指引、計量問卷、可計算化的表型以及臨床決策支援規則等；知識元件以模組化、可計算機處理的形式表示知識資源，將其外部化並提供服務。</w:t>
      </w:r>
    </w:p>
    <w:p w:rsidR="008E019E" w:rsidRPr="008E019E" w:rsidRDefault="008E019E" w:rsidP="008E019E">
      <w:pPr>
        <w:widowControl/>
        <w:shd w:val="clear" w:color="auto" w:fill="FFFFFF"/>
        <w:jc w:val="both"/>
        <w:outlineLvl w:val="3"/>
        <w:rPr>
          <w:rFonts w:ascii="標楷體" w:eastAsia="標楷體" w:hAnsi="標楷體" w:cs="新細明體"/>
          <w:color w:val="555555"/>
          <w:spacing w:val="8"/>
          <w:szCs w:val="24"/>
        </w:rPr>
      </w:pPr>
    </w:p>
    <w:p w:rsidR="008E019E" w:rsidRPr="008E019E" w:rsidRDefault="008E019E" w:rsidP="008E019E">
      <w:pPr>
        <w:widowControl/>
        <w:shd w:val="clear" w:color="auto" w:fill="FFFFFF"/>
        <w:jc w:val="both"/>
        <w:outlineLvl w:val="3"/>
        <w:rPr>
          <w:rFonts w:ascii="標楷體" w:eastAsia="標楷體" w:hAnsi="標楷體" w:cs="新細明體"/>
          <w:b/>
          <w:color w:val="555555"/>
          <w:spacing w:val="8"/>
          <w:szCs w:val="24"/>
        </w:rPr>
      </w:pPr>
      <w:r w:rsidRPr="008E019E">
        <w:rPr>
          <w:rFonts w:ascii="標楷體" w:eastAsia="標楷體" w:hAnsi="標楷體" w:cs="新細明體"/>
          <w:color w:val="555555"/>
          <w:spacing w:val="8"/>
          <w:szCs w:val="24"/>
        </w:rPr>
        <w:t xml:space="preserve">3. </w:t>
      </w:r>
      <w:r w:rsidRPr="008E019E">
        <w:rPr>
          <w:rFonts w:ascii="標楷體" w:eastAsia="標楷體" w:hAnsi="標楷體" w:cs="新細明體" w:hint="eastAsia"/>
          <w:b/>
          <w:color w:val="555555"/>
          <w:spacing w:val="8"/>
          <w:kern w:val="36"/>
          <w:szCs w:val="24"/>
        </w:rPr>
        <w:t>元件</w:t>
      </w:r>
      <w:r w:rsidRPr="008E019E">
        <w:rPr>
          <w:rFonts w:ascii="標楷體" w:eastAsia="標楷體" w:hAnsi="標楷體" w:cs="新細明體"/>
          <w:b/>
          <w:color w:val="555555"/>
          <w:spacing w:val="8"/>
          <w:kern w:val="36"/>
          <w:szCs w:val="24"/>
        </w:rPr>
        <w:t>庫</w:t>
      </w:r>
    </w:p>
    <w:p w:rsidR="008E019E" w:rsidRPr="008E019E" w:rsidRDefault="008E019E" w:rsidP="008E019E">
      <w:pPr>
        <w:widowControl/>
        <w:shd w:val="clear" w:color="auto" w:fill="FFFFFF"/>
        <w:jc w:val="both"/>
        <w:rPr>
          <w:rFonts w:ascii="標楷體" w:eastAsia="標楷體" w:hAnsi="標楷體" w:cs="新細明體"/>
          <w:color w:val="555555"/>
          <w:spacing w:val="8"/>
          <w:szCs w:val="24"/>
        </w:rPr>
      </w:pPr>
      <w:r w:rsidRPr="008E019E">
        <w:rPr>
          <w:rFonts w:ascii="標楷體" w:eastAsia="標楷體" w:hAnsi="標楷體" w:cs="新細明體" w:hint="eastAsia"/>
          <w:noProof/>
          <w:color w:val="555555"/>
          <w:spacing w:val="8"/>
          <w:szCs w:val="24"/>
        </w:rPr>
        <w:drawing>
          <wp:inline distT="0" distB="0" distL="0" distR="0" wp14:anchorId="531951D9" wp14:editId="0D65E633">
            <wp:extent cx="5169244" cy="4299545"/>
            <wp:effectExtent l="0" t="0" r="0" b="6350"/>
            <wp:docPr id="2" name="圖片 2" descr="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bra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0011" cy="4325136"/>
                    </a:xfrm>
                    <a:prstGeom prst="rect">
                      <a:avLst/>
                    </a:prstGeom>
                    <a:noFill/>
                    <a:ln>
                      <a:noFill/>
                    </a:ln>
                  </pic:spPr>
                </pic:pic>
              </a:graphicData>
            </a:graphic>
          </wp:inline>
        </w:drawing>
      </w:r>
    </w:p>
    <w:p w:rsidR="008E019E" w:rsidRPr="008E019E" w:rsidRDefault="008E019E" w:rsidP="008E019E">
      <w:pPr>
        <w:widowControl/>
        <w:jc w:val="center"/>
        <w:rPr>
          <w:rFonts w:ascii="標楷體" w:eastAsia="標楷體" w:hAnsi="標楷體" w:cs="Open Sans"/>
          <w:bCs/>
          <w:color w:val="555555"/>
          <w:spacing w:val="8"/>
          <w:szCs w:val="24"/>
        </w:rPr>
      </w:pPr>
      <w:r w:rsidRPr="008E019E">
        <w:rPr>
          <w:rFonts w:ascii="標楷體" w:eastAsia="標楷體" w:hAnsi="標楷體" w:cs="Open Sans" w:hint="eastAsia"/>
          <w:bCs/>
          <w:color w:val="555555"/>
          <w:spacing w:val="8"/>
          <w:szCs w:val="24"/>
        </w:rPr>
        <w:t>圖三、元件庫與系統的基本架構</w:t>
      </w:r>
      <w:r w:rsidRPr="008E019E">
        <w:rPr>
          <w:rFonts w:ascii="標楷體" w:eastAsia="標楷體" w:hAnsi="標楷體" w:cs="新細明體" w:hint="eastAsia"/>
          <w:color w:val="555555"/>
          <w:spacing w:val="8"/>
          <w:szCs w:val="24"/>
        </w:rPr>
        <w:t>(取自</w:t>
      </w:r>
      <w:r w:rsidRPr="008E019E">
        <w:rPr>
          <w:rFonts w:ascii="標楷體" w:eastAsia="標楷體" w:hAnsi="標楷體" w:cs="新細明體"/>
          <w:color w:val="555555"/>
          <w:spacing w:val="8"/>
          <w:szCs w:val="24"/>
        </w:rPr>
        <w:t>http://kgrid.org/tools.html#library</w:t>
      </w:r>
      <w:r w:rsidRPr="008E019E">
        <w:rPr>
          <w:rFonts w:ascii="標楷體" w:eastAsia="標楷體" w:hAnsi="標楷體" w:cs="新細明體" w:hint="eastAsia"/>
          <w:color w:val="555555"/>
          <w:spacing w:val="8"/>
          <w:szCs w:val="24"/>
        </w:rPr>
        <w:t>)</w:t>
      </w:r>
    </w:p>
    <w:p w:rsidR="008E019E" w:rsidRPr="008E019E" w:rsidRDefault="008E019E" w:rsidP="008E019E">
      <w:pPr>
        <w:widowControl/>
        <w:jc w:val="both"/>
        <w:rPr>
          <w:rFonts w:ascii="標楷體" w:eastAsia="標楷體" w:hAnsi="標楷體" w:cs="Open Sans"/>
          <w:bCs/>
          <w:color w:val="555555"/>
          <w:spacing w:val="8"/>
          <w:szCs w:val="24"/>
        </w:rPr>
      </w:pPr>
    </w:p>
    <w:p w:rsidR="008E019E" w:rsidRPr="008E019E" w:rsidRDefault="008E019E" w:rsidP="008E019E">
      <w:pPr>
        <w:widowControl/>
        <w:jc w:val="both"/>
        <w:rPr>
          <w:rFonts w:ascii="標楷體" w:eastAsia="標楷體" w:hAnsi="標楷體" w:cs="Open Sans"/>
          <w:b/>
          <w:bCs/>
          <w:color w:val="555555"/>
          <w:spacing w:val="8"/>
          <w:szCs w:val="24"/>
        </w:rPr>
      </w:pPr>
      <w:r w:rsidRPr="008E019E">
        <w:rPr>
          <w:rFonts w:ascii="標楷體" w:eastAsia="標楷體" w:hAnsi="標楷體" w:cs="Open Sans" w:hint="eastAsia"/>
          <w:bCs/>
          <w:color w:val="555555"/>
          <w:spacing w:val="8"/>
          <w:szCs w:val="24"/>
        </w:rPr>
        <w:t>元件庫保護並提供知識元件的管理，使其易於存取和部署；元件庫建立在一個基於Fedora</w:t>
      </w:r>
      <w:r w:rsidR="00E05A3C">
        <w:rPr>
          <w:rFonts w:ascii="標楷體" w:eastAsia="標楷體" w:hAnsi="標楷體" w:cs="Open Sans" w:hint="eastAsia"/>
          <w:bCs/>
          <w:color w:val="555555"/>
          <w:spacing w:val="8"/>
          <w:szCs w:val="24"/>
        </w:rPr>
        <w:t xml:space="preserve"> Commons</w:t>
      </w:r>
      <w:r w:rsidRPr="008E019E">
        <w:rPr>
          <w:rFonts w:ascii="標楷體" w:eastAsia="標楷體" w:hAnsi="標楷體" w:cs="Open Sans" w:hint="eastAsia"/>
          <w:bCs/>
          <w:color w:val="555555"/>
          <w:spacing w:val="8"/>
          <w:szCs w:val="24"/>
        </w:rPr>
        <w:t>的知識庫中，分別由SOLR和FUSEKI支援搜尋和報告功能；它包括一個有助於編碼知識元件的模型層(Model Layer)，模型層調用EZID為每個知識元件創建唯一的識別標記；元件庫還具有支持兩個API</w:t>
      </w:r>
      <w:r w:rsidR="00E05A3C">
        <w:rPr>
          <w:rFonts w:ascii="標楷體" w:eastAsia="標楷體" w:hAnsi="標楷體" w:cs="Open Sans" w:hint="eastAsia"/>
          <w:bCs/>
          <w:color w:val="555555"/>
          <w:spacing w:val="8"/>
          <w:szCs w:val="24"/>
        </w:rPr>
        <w:t>的閘道</w:t>
      </w:r>
      <w:r w:rsidRPr="008E019E">
        <w:rPr>
          <w:rFonts w:ascii="標楷體" w:eastAsia="標楷體" w:hAnsi="標楷體" w:cs="Open Sans" w:hint="eastAsia"/>
          <w:bCs/>
          <w:color w:val="555555"/>
          <w:spacing w:val="8"/>
          <w:szCs w:val="24"/>
        </w:rPr>
        <w:t>層(Gateway Layer)，探索API(Discovery API)提供查詢和存取知識</w:t>
      </w:r>
      <w:r w:rsidRPr="008E019E">
        <w:rPr>
          <w:rFonts w:ascii="標楷體" w:eastAsia="標楷體" w:hAnsi="標楷體" w:cs="Open Sans" w:hint="eastAsia"/>
          <w:bCs/>
          <w:color w:val="555555"/>
          <w:spacing w:val="8"/>
          <w:szCs w:val="24"/>
        </w:rPr>
        <w:lastRenderedPageBreak/>
        <w:t>元件的功能，管理API(Management API)提供了儲存和管理知識元件的功能(見圖三)。</w:t>
      </w:r>
    </w:p>
    <w:p w:rsidR="008E019E" w:rsidRPr="008E019E" w:rsidRDefault="008E019E" w:rsidP="008E019E">
      <w:pPr>
        <w:widowControl/>
        <w:jc w:val="both"/>
        <w:rPr>
          <w:rFonts w:ascii="標楷體" w:eastAsia="標楷體" w:hAnsi="標楷體" w:cs="Open Sans"/>
          <w:b/>
          <w:bCs/>
          <w:color w:val="555555"/>
          <w:spacing w:val="8"/>
          <w:szCs w:val="24"/>
        </w:rPr>
      </w:pPr>
      <w:r w:rsidRPr="008E019E">
        <w:rPr>
          <w:rFonts w:ascii="標楷體" w:eastAsia="標楷體" w:hAnsi="標楷體" w:cs="Open Sans"/>
          <w:b/>
          <w:bCs/>
          <w:color w:val="555555"/>
          <w:spacing w:val="8"/>
          <w:szCs w:val="24"/>
        </w:rPr>
        <w:t xml:space="preserve">4. </w:t>
      </w:r>
      <w:r w:rsidRPr="008E019E">
        <w:rPr>
          <w:rFonts w:ascii="標楷體" w:eastAsia="標楷體" w:hAnsi="標楷體" w:cs="新細明體" w:hint="eastAsia"/>
          <w:b/>
          <w:color w:val="555555"/>
          <w:spacing w:val="8"/>
          <w:kern w:val="36"/>
          <w:szCs w:val="24"/>
        </w:rPr>
        <w:t>元件</w:t>
      </w:r>
      <w:r w:rsidRPr="008E019E">
        <w:rPr>
          <w:rFonts w:ascii="標楷體" w:eastAsia="標楷體" w:hAnsi="標楷體" w:cs="新細明體"/>
          <w:b/>
          <w:color w:val="555555"/>
          <w:spacing w:val="8"/>
          <w:kern w:val="36"/>
          <w:szCs w:val="24"/>
        </w:rPr>
        <w:t>活</w:t>
      </w:r>
      <w:r w:rsidRPr="008E019E">
        <w:rPr>
          <w:rFonts w:ascii="標楷體" w:eastAsia="標楷體" w:hAnsi="標楷體" w:cs="新細明體" w:hint="eastAsia"/>
          <w:b/>
          <w:color w:val="555555"/>
          <w:spacing w:val="8"/>
          <w:kern w:val="36"/>
          <w:szCs w:val="24"/>
        </w:rPr>
        <w:t>化</w:t>
      </w:r>
      <w:r w:rsidRPr="008E019E">
        <w:rPr>
          <w:rFonts w:ascii="標楷體" w:eastAsia="標楷體" w:hAnsi="標楷體" w:cs="新細明體"/>
          <w:b/>
          <w:color w:val="555555"/>
          <w:spacing w:val="8"/>
          <w:kern w:val="36"/>
          <w:szCs w:val="24"/>
        </w:rPr>
        <w:t>器</w:t>
      </w:r>
    </w:p>
    <w:p w:rsidR="008E019E" w:rsidRPr="008E019E" w:rsidRDefault="008E019E" w:rsidP="008E019E">
      <w:pPr>
        <w:widowControl/>
        <w:shd w:val="clear" w:color="auto" w:fill="FFFFFF"/>
        <w:jc w:val="center"/>
        <w:rPr>
          <w:rFonts w:ascii="標楷體" w:eastAsia="標楷體" w:hAnsi="標楷體" w:cs="新細明體"/>
          <w:color w:val="555555"/>
          <w:spacing w:val="8"/>
          <w:szCs w:val="24"/>
        </w:rPr>
      </w:pPr>
      <w:r w:rsidRPr="008E019E">
        <w:rPr>
          <w:rFonts w:ascii="標楷體" w:eastAsia="標楷體" w:hAnsi="標楷體" w:cs="新細明體" w:hint="eastAsia"/>
          <w:noProof/>
          <w:color w:val="555555"/>
          <w:spacing w:val="8"/>
          <w:szCs w:val="24"/>
        </w:rPr>
        <w:drawing>
          <wp:inline distT="0" distB="0" distL="0" distR="0" wp14:anchorId="193CE961" wp14:editId="50D1E037">
            <wp:extent cx="4688006" cy="3282196"/>
            <wp:effectExtent l="0" t="0" r="0" b="0"/>
            <wp:docPr id="1" name="圖片 1" descr="Activ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tiva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0463" cy="3290917"/>
                    </a:xfrm>
                    <a:prstGeom prst="rect">
                      <a:avLst/>
                    </a:prstGeom>
                    <a:noFill/>
                    <a:ln>
                      <a:noFill/>
                    </a:ln>
                  </pic:spPr>
                </pic:pic>
              </a:graphicData>
            </a:graphic>
          </wp:inline>
        </w:drawing>
      </w:r>
    </w:p>
    <w:p w:rsidR="008E019E" w:rsidRPr="008E019E" w:rsidRDefault="008E019E" w:rsidP="008E019E">
      <w:pPr>
        <w:widowControl/>
        <w:shd w:val="clear" w:color="auto" w:fill="FFFFFF"/>
        <w:jc w:val="center"/>
        <w:rPr>
          <w:rFonts w:ascii="標楷體" w:eastAsia="標楷體" w:hAnsi="標楷體" w:cs="新細明體"/>
          <w:color w:val="555555"/>
          <w:spacing w:val="8"/>
          <w:szCs w:val="24"/>
        </w:rPr>
      </w:pPr>
      <w:r w:rsidRPr="008E019E">
        <w:rPr>
          <w:rFonts w:ascii="標楷體" w:eastAsia="標楷體" w:hAnsi="標楷體" w:cs="新細明體" w:hint="eastAsia"/>
          <w:color w:val="555555"/>
          <w:spacing w:val="8"/>
          <w:szCs w:val="24"/>
        </w:rPr>
        <w:t>圖四、活化器與系統的基本架構(取自</w:t>
      </w:r>
      <w:r w:rsidRPr="008E019E">
        <w:rPr>
          <w:rFonts w:ascii="標楷體" w:eastAsia="標楷體" w:hAnsi="標楷體" w:cs="新細明體"/>
          <w:color w:val="555555"/>
          <w:spacing w:val="8"/>
          <w:szCs w:val="24"/>
        </w:rPr>
        <w:t>http://kgrid.org/tools.html#activator</w:t>
      </w:r>
      <w:r w:rsidRPr="008E019E">
        <w:rPr>
          <w:rFonts w:ascii="標楷體" w:eastAsia="標楷體" w:hAnsi="標楷體" w:cs="新細明體" w:hint="eastAsia"/>
          <w:color w:val="555555"/>
          <w:spacing w:val="8"/>
          <w:szCs w:val="24"/>
        </w:rPr>
        <w:t>)</w:t>
      </w:r>
    </w:p>
    <w:p w:rsidR="008E019E" w:rsidRPr="008E019E" w:rsidRDefault="008E019E" w:rsidP="008E019E">
      <w:pPr>
        <w:widowControl/>
        <w:shd w:val="clear" w:color="auto" w:fill="FFFFFF"/>
        <w:jc w:val="both"/>
        <w:rPr>
          <w:rFonts w:ascii="標楷體" w:eastAsia="標楷體" w:hAnsi="標楷體" w:cs="新細明體"/>
          <w:color w:val="555555"/>
          <w:spacing w:val="8"/>
          <w:szCs w:val="24"/>
        </w:rPr>
      </w:pPr>
    </w:p>
    <w:p w:rsidR="008E019E" w:rsidRPr="008E019E" w:rsidRDefault="008E019E" w:rsidP="008E019E">
      <w:pPr>
        <w:widowControl/>
        <w:shd w:val="clear" w:color="auto" w:fill="FFFFFF"/>
        <w:jc w:val="both"/>
        <w:outlineLvl w:val="3"/>
        <w:rPr>
          <w:rFonts w:ascii="標楷體" w:eastAsia="標楷體" w:hAnsi="標楷體" w:cs="新細明體"/>
          <w:color w:val="555555"/>
          <w:spacing w:val="8"/>
          <w:szCs w:val="24"/>
        </w:rPr>
      </w:pPr>
      <w:r w:rsidRPr="008E019E">
        <w:rPr>
          <w:rFonts w:ascii="標楷體" w:eastAsia="標楷體" w:hAnsi="標楷體" w:cs="新細明體" w:hint="eastAsia"/>
          <w:color w:val="555555"/>
          <w:spacing w:val="8"/>
          <w:szCs w:val="24"/>
        </w:rPr>
        <w:t>活化器是將知</w:t>
      </w:r>
      <w:r w:rsidRPr="008E019E">
        <w:rPr>
          <w:rFonts w:ascii="標楷體" w:eastAsia="標楷體" w:hAnsi="標楷體" w:cs="新細明體"/>
          <w:color w:val="555555"/>
          <w:spacing w:val="8"/>
          <w:szCs w:val="24"/>
        </w:rPr>
        <w:t>識元件</w:t>
      </w:r>
      <w:r w:rsidRPr="008E019E">
        <w:rPr>
          <w:rFonts w:ascii="標楷體" w:eastAsia="標楷體" w:hAnsi="標楷體" w:cs="新細明體" w:hint="eastAsia"/>
          <w:color w:val="555555"/>
          <w:spacing w:val="8"/>
          <w:szCs w:val="24"/>
        </w:rPr>
        <w:t>部署於處理真實健康數據之服務的系統，活化器提供了一個水平擴展的手段，使知識元件可在現實世界中工作，活化器可以以一種或多種形式或語言來運行有效負載代碼、可對有效負載中的判斷進行推理、可將有效負載傳送到其他應用，並且還可以作為其他人提供之服務的接入點。當知識元件從元件庫移動到活化器時，它們將自動成為可以處理真實健康數據並生成建議訊息的服務(見圖四)。</w:t>
      </w:r>
    </w:p>
    <w:p w:rsidR="008E019E" w:rsidRPr="008E019E" w:rsidRDefault="008E019E" w:rsidP="008E019E">
      <w:pPr>
        <w:widowControl/>
        <w:shd w:val="clear" w:color="auto" w:fill="FFFFFF"/>
        <w:jc w:val="both"/>
        <w:outlineLvl w:val="3"/>
        <w:rPr>
          <w:rFonts w:ascii="標楷體" w:eastAsia="標楷體" w:hAnsi="標楷體" w:cs="Open Sans"/>
          <w:color w:val="555555"/>
          <w:spacing w:val="8"/>
          <w:szCs w:val="24"/>
        </w:rPr>
      </w:pPr>
    </w:p>
    <w:p w:rsidR="008E019E" w:rsidRPr="008E019E" w:rsidRDefault="008E019E" w:rsidP="008E019E">
      <w:pPr>
        <w:widowControl/>
        <w:jc w:val="both"/>
        <w:rPr>
          <w:rFonts w:ascii="標楷體" w:eastAsia="標楷體" w:hAnsi="標楷體" w:cs="新細明體"/>
          <w:b/>
          <w:color w:val="555555"/>
          <w:spacing w:val="8"/>
          <w:szCs w:val="24"/>
        </w:rPr>
      </w:pPr>
      <w:r w:rsidRPr="008E019E">
        <w:rPr>
          <w:rFonts w:ascii="標楷體" w:eastAsia="標楷體" w:hAnsi="標楷體" w:cs="新細明體" w:hint="eastAsia"/>
          <w:b/>
          <w:color w:val="555555"/>
          <w:spacing w:val="8"/>
          <w:kern w:val="36"/>
          <w:szCs w:val="24"/>
        </w:rPr>
        <w:t>5. 服務</w:t>
      </w:r>
    </w:p>
    <w:p w:rsidR="008E019E" w:rsidRPr="008E019E" w:rsidRDefault="008E019E" w:rsidP="008E019E">
      <w:pPr>
        <w:widowControl/>
        <w:shd w:val="clear" w:color="auto" w:fill="FFFFFF"/>
        <w:jc w:val="both"/>
        <w:outlineLvl w:val="3"/>
        <w:rPr>
          <w:rFonts w:ascii="標楷體" w:eastAsia="標楷體" w:hAnsi="標楷體" w:cs="新細明體"/>
          <w:color w:val="555555"/>
          <w:spacing w:val="8"/>
          <w:szCs w:val="24"/>
        </w:rPr>
      </w:pPr>
      <w:r w:rsidRPr="008E019E">
        <w:rPr>
          <w:rFonts w:ascii="標楷體" w:eastAsia="標楷體" w:hAnsi="標楷體" w:cs="新細明體" w:hint="eastAsia"/>
          <w:color w:val="555555"/>
          <w:spacing w:val="8"/>
          <w:szCs w:val="24"/>
        </w:rPr>
        <w:t>利用知識元件有效負載中可計算化知識的服務係透過RESTful API提供；依循RESTful方法，知識網格服務遵守無狀態協議(</w:t>
      </w:r>
      <w:r w:rsidRPr="008E019E">
        <w:rPr>
          <w:rFonts w:ascii="標楷體" w:eastAsia="標楷體" w:hAnsi="標楷體" w:cs="新細明體"/>
          <w:color w:val="555555"/>
          <w:spacing w:val="8"/>
          <w:szCs w:val="24"/>
        </w:rPr>
        <w:t>stateless</w:t>
      </w:r>
      <w:r w:rsidRPr="008E019E">
        <w:rPr>
          <w:rFonts w:ascii="標楷體" w:eastAsia="標楷體" w:hAnsi="標楷體" w:cs="新細明體" w:hint="eastAsia"/>
          <w:color w:val="555555"/>
          <w:spacing w:val="8"/>
          <w:szCs w:val="24"/>
        </w:rPr>
        <w:t>)，這意味著不</w:t>
      </w:r>
      <w:r w:rsidRPr="008E019E">
        <w:rPr>
          <w:rFonts w:ascii="標楷體" w:eastAsia="標楷體" w:hAnsi="標楷體" w:cs="新細明體"/>
          <w:color w:val="555555"/>
          <w:spacing w:val="8"/>
          <w:szCs w:val="24"/>
        </w:rPr>
        <w:t>論先後</w:t>
      </w:r>
      <w:r w:rsidRPr="008E019E">
        <w:rPr>
          <w:rFonts w:ascii="標楷體" w:eastAsia="標楷體" w:hAnsi="標楷體" w:cs="新細明體" w:hint="eastAsia"/>
          <w:color w:val="555555"/>
          <w:spacing w:val="8"/>
          <w:szCs w:val="24"/>
        </w:rPr>
        <w:t>使用這些服務，彼</w:t>
      </w:r>
      <w:r w:rsidRPr="008E019E">
        <w:rPr>
          <w:rFonts w:ascii="標楷體" w:eastAsia="標楷體" w:hAnsi="標楷體" w:cs="新細明體"/>
          <w:color w:val="555555"/>
          <w:spacing w:val="8"/>
          <w:szCs w:val="24"/>
        </w:rPr>
        <w:t>此</w:t>
      </w:r>
      <w:r w:rsidRPr="008E019E">
        <w:rPr>
          <w:rFonts w:ascii="標楷體" w:eastAsia="標楷體" w:hAnsi="標楷體" w:cs="新細明體" w:hint="eastAsia"/>
          <w:color w:val="555555"/>
          <w:spacing w:val="8"/>
          <w:szCs w:val="24"/>
        </w:rPr>
        <w:t>都是獨立；每個知識元件的中</w:t>
      </w:r>
      <w:r w:rsidRPr="008E019E">
        <w:rPr>
          <w:rFonts w:ascii="標楷體" w:eastAsia="標楷體" w:hAnsi="標楷體" w:cs="新細明體"/>
          <w:color w:val="555555"/>
          <w:spacing w:val="8"/>
          <w:szCs w:val="24"/>
        </w:rPr>
        <w:t>繼</w:t>
      </w:r>
      <w:r w:rsidRPr="008E019E">
        <w:rPr>
          <w:rFonts w:ascii="標楷體" w:eastAsia="標楷體" w:hAnsi="標楷體" w:cs="新細明體" w:hint="eastAsia"/>
          <w:color w:val="555555"/>
          <w:spacing w:val="8"/>
          <w:szCs w:val="24"/>
        </w:rPr>
        <w:t>數據(</w:t>
      </w:r>
      <w:r w:rsidRPr="008E019E">
        <w:rPr>
          <w:rFonts w:ascii="標楷體" w:eastAsia="標楷體" w:hAnsi="標楷體" w:cs="新細明體"/>
          <w:color w:val="555555"/>
          <w:spacing w:val="8"/>
          <w:szCs w:val="24"/>
        </w:rPr>
        <w:t>metadata</w:t>
      </w:r>
      <w:r w:rsidRPr="008E019E">
        <w:rPr>
          <w:rFonts w:ascii="標楷體" w:eastAsia="標楷體" w:hAnsi="標楷體" w:cs="新細明體" w:hint="eastAsia"/>
          <w:color w:val="555555"/>
          <w:spacing w:val="8"/>
          <w:szCs w:val="24"/>
        </w:rPr>
        <w:t>)包括對於每個元</w:t>
      </w:r>
      <w:r w:rsidRPr="008E019E">
        <w:rPr>
          <w:rFonts w:ascii="標楷體" w:eastAsia="標楷體" w:hAnsi="標楷體" w:cs="新細明體"/>
          <w:color w:val="555555"/>
          <w:spacing w:val="8"/>
          <w:szCs w:val="24"/>
        </w:rPr>
        <w:t>件</w:t>
      </w:r>
      <w:r w:rsidRPr="008E019E">
        <w:rPr>
          <w:rFonts w:ascii="標楷體" w:eastAsia="標楷體" w:hAnsi="標楷體" w:cs="新細明體" w:hint="eastAsia"/>
          <w:color w:val="555555"/>
          <w:spacing w:val="8"/>
          <w:szCs w:val="24"/>
        </w:rPr>
        <w:t>所提供的服務之描述。</w:t>
      </w:r>
    </w:p>
    <w:p w:rsidR="008E019E" w:rsidRPr="008E019E" w:rsidRDefault="008E019E" w:rsidP="008E019E">
      <w:pPr>
        <w:widowControl/>
        <w:shd w:val="clear" w:color="auto" w:fill="FFFFFF"/>
        <w:jc w:val="both"/>
        <w:outlineLvl w:val="3"/>
        <w:rPr>
          <w:rFonts w:ascii="標楷體" w:eastAsia="標楷體" w:hAnsi="標楷體" w:cs="新細明體"/>
          <w:color w:val="555555"/>
          <w:spacing w:val="8"/>
          <w:szCs w:val="24"/>
        </w:rPr>
      </w:pPr>
    </w:p>
    <w:p w:rsidR="008E019E" w:rsidRPr="008E019E" w:rsidRDefault="008E019E" w:rsidP="008E019E">
      <w:pPr>
        <w:widowControl/>
        <w:shd w:val="clear" w:color="auto" w:fill="FFFFFF"/>
        <w:jc w:val="both"/>
        <w:outlineLvl w:val="3"/>
        <w:rPr>
          <w:rFonts w:ascii="標楷體" w:eastAsia="標楷體" w:hAnsi="標楷體" w:cs="新細明體"/>
          <w:b/>
          <w:color w:val="555555"/>
          <w:spacing w:val="8"/>
          <w:szCs w:val="24"/>
        </w:rPr>
      </w:pPr>
      <w:r w:rsidRPr="008E019E">
        <w:rPr>
          <w:rFonts w:ascii="標楷體" w:eastAsia="標楷體" w:hAnsi="標楷體" w:cs="新細明體" w:hint="eastAsia"/>
          <w:b/>
          <w:color w:val="555555"/>
          <w:spacing w:val="8"/>
          <w:szCs w:val="24"/>
        </w:rPr>
        <w:t>二、應用範例</w:t>
      </w:r>
    </w:p>
    <w:p w:rsidR="008E019E" w:rsidRPr="008E019E" w:rsidRDefault="008E019E" w:rsidP="008E019E">
      <w:pPr>
        <w:widowControl/>
        <w:shd w:val="clear" w:color="auto" w:fill="FFFFFF"/>
        <w:jc w:val="both"/>
        <w:outlineLvl w:val="3"/>
        <w:rPr>
          <w:rFonts w:ascii="標楷體" w:eastAsia="標楷體" w:hAnsi="標楷體" w:cs="新細明體"/>
          <w:color w:val="555555"/>
          <w:spacing w:val="8"/>
          <w:szCs w:val="24"/>
        </w:rPr>
      </w:pPr>
      <w:r w:rsidRPr="008E019E">
        <w:rPr>
          <w:rFonts w:ascii="標楷體" w:eastAsia="標楷體" w:hAnsi="標楷體" w:cs="新細明體" w:hint="eastAsia"/>
          <w:color w:val="555555"/>
          <w:spacing w:val="8"/>
          <w:szCs w:val="24"/>
        </w:rPr>
        <w:t>知識網格的應用，可舉肝癌風險預測為例，說明如何取得知識的文獻依據、為何將知識轉化為知識元件以及知識元件化後的運用與擴散。</w:t>
      </w:r>
    </w:p>
    <w:p w:rsidR="008E019E" w:rsidRPr="008E019E" w:rsidRDefault="008E019E" w:rsidP="008E019E">
      <w:pPr>
        <w:widowControl/>
        <w:shd w:val="clear" w:color="auto" w:fill="FFFFFF"/>
        <w:jc w:val="both"/>
        <w:outlineLvl w:val="3"/>
        <w:rPr>
          <w:rFonts w:ascii="標楷體" w:eastAsia="標楷體" w:hAnsi="標楷體" w:cs="新細明體"/>
          <w:color w:val="555555"/>
          <w:spacing w:val="8"/>
          <w:szCs w:val="24"/>
        </w:rPr>
      </w:pPr>
    </w:p>
    <w:p w:rsidR="008E019E" w:rsidRPr="008E019E" w:rsidRDefault="008E019E" w:rsidP="008E019E">
      <w:pPr>
        <w:pStyle w:val="a3"/>
        <w:widowControl/>
        <w:numPr>
          <w:ilvl w:val="0"/>
          <w:numId w:val="1"/>
        </w:numPr>
        <w:shd w:val="clear" w:color="auto" w:fill="FFFFFF"/>
        <w:ind w:leftChars="0"/>
        <w:jc w:val="both"/>
        <w:outlineLvl w:val="3"/>
        <w:rPr>
          <w:rFonts w:ascii="標楷體" w:eastAsia="標楷體" w:hAnsi="標楷體" w:cs="新細明體"/>
          <w:b/>
          <w:color w:val="555555"/>
          <w:spacing w:val="8"/>
          <w:kern w:val="0"/>
          <w:szCs w:val="24"/>
        </w:rPr>
      </w:pPr>
      <w:r w:rsidRPr="008E019E">
        <w:rPr>
          <w:rFonts w:ascii="標楷體" w:eastAsia="標楷體" w:hAnsi="標楷體" w:cs="新細明體" w:hint="eastAsia"/>
          <w:b/>
          <w:color w:val="555555"/>
          <w:spacing w:val="8"/>
          <w:kern w:val="0"/>
          <w:szCs w:val="24"/>
        </w:rPr>
        <w:lastRenderedPageBreak/>
        <w:t>知識的文獻依據</w:t>
      </w:r>
    </w:p>
    <w:p w:rsidR="008E019E" w:rsidRPr="008E019E" w:rsidRDefault="008E019E" w:rsidP="008E019E">
      <w:pPr>
        <w:widowControl/>
        <w:shd w:val="clear" w:color="auto" w:fill="FFFFFF"/>
        <w:jc w:val="both"/>
        <w:outlineLvl w:val="3"/>
        <w:rPr>
          <w:rFonts w:ascii="標楷體" w:eastAsia="標楷體" w:hAnsi="標楷體" w:cs="新細明體"/>
          <w:color w:val="555555"/>
          <w:spacing w:val="8"/>
          <w:szCs w:val="24"/>
        </w:rPr>
      </w:pPr>
      <w:r w:rsidRPr="008E019E">
        <w:rPr>
          <w:rFonts w:ascii="標楷體" w:eastAsia="標楷體" w:hAnsi="標楷體" w:cs="新細明體" w:hint="eastAsia"/>
          <w:color w:val="555555"/>
          <w:spacing w:val="8"/>
          <w:szCs w:val="24"/>
        </w:rPr>
        <w:t>在由陳建仁院士等人所著的</w:t>
      </w:r>
      <w:r w:rsidRPr="008E019E">
        <w:rPr>
          <w:rFonts w:ascii="標楷體" w:eastAsia="標楷體" w:hAnsi="標楷體" w:cs="新細明體"/>
          <w:color w:val="555555"/>
          <w:spacing w:val="8"/>
          <w:szCs w:val="24"/>
        </w:rPr>
        <w:t>”</w:t>
      </w:r>
      <w:r w:rsidRPr="008E019E">
        <w:rPr>
          <w:rFonts w:ascii="標楷體" w:eastAsia="標楷體" w:hAnsi="標楷體"/>
        </w:rPr>
        <w:t>Risk calculators for hepatocellular carcinoma in patients affected with chronic hepatitis B in Asia”</w:t>
      </w:r>
      <w:r w:rsidRPr="008E019E">
        <w:rPr>
          <w:rFonts w:ascii="標楷體" w:eastAsia="標楷體" w:hAnsi="標楷體" w:hint="eastAsia"/>
        </w:rPr>
        <w:t>一文中，提供了肝癌風險分數以及風險百分率的評估工具，可由年齡(Age)、性別(Sex)、血清中谷丙轉氨酶濃度(Level of ALT (</w:t>
      </w:r>
      <w:r w:rsidRPr="008E019E">
        <w:rPr>
          <w:rFonts w:ascii="標楷體" w:eastAsia="標楷體" w:hAnsi="標楷體"/>
        </w:rPr>
        <w:t>IU/L</w:t>
      </w:r>
      <w:r w:rsidRPr="008E019E">
        <w:rPr>
          <w:rFonts w:ascii="標楷體" w:eastAsia="標楷體" w:hAnsi="標楷體" w:hint="eastAsia"/>
        </w:rPr>
        <w:t>))、肝癌家族史(Family history of hepatocellu</w:t>
      </w:r>
      <w:r w:rsidRPr="008E019E">
        <w:rPr>
          <w:rFonts w:ascii="標楷體" w:eastAsia="標楷體" w:hAnsi="標楷體"/>
        </w:rPr>
        <w:t>l</w:t>
      </w:r>
      <w:r w:rsidRPr="008E019E">
        <w:rPr>
          <w:rFonts w:ascii="標楷體" w:eastAsia="標楷體" w:hAnsi="標楷體" w:hint="eastAsia"/>
        </w:rPr>
        <w:t xml:space="preserve">ar </w:t>
      </w:r>
      <w:r w:rsidRPr="008E019E">
        <w:rPr>
          <w:rFonts w:ascii="標楷體" w:eastAsia="標楷體" w:hAnsi="標楷體"/>
        </w:rPr>
        <w:t>carcinoma</w:t>
      </w:r>
      <w:r w:rsidRPr="008E019E">
        <w:rPr>
          <w:rFonts w:ascii="標楷體" w:eastAsia="標楷體" w:hAnsi="標楷體" w:hint="eastAsia"/>
        </w:rPr>
        <w:t>)、B型肝炎e抗原/B型肝炎DNA/B型肝炎s抗原/</w:t>
      </w:r>
      <w:r w:rsidRPr="008E019E">
        <w:rPr>
          <w:rFonts w:ascii="標楷體" w:eastAsia="標楷體" w:hAnsi="標楷體"/>
        </w:rPr>
        <w:t>B</w:t>
      </w:r>
      <w:r w:rsidRPr="008E019E">
        <w:rPr>
          <w:rFonts w:ascii="標楷體" w:eastAsia="標楷體" w:hAnsi="標楷體" w:hint="eastAsia"/>
        </w:rPr>
        <w:t>型肝炎病毒基因型的表現組合(HBeAg/</w:t>
      </w:r>
      <w:r w:rsidRPr="008E019E">
        <w:rPr>
          <w:rFonts w:ascii="標楷體" w:eastAsia="標楷體" w:hAnsi="標楷體"/>
        </w:rPr>
        <w:t>HBV DNA/HBsAg/genotype</w:t>
      </w:r>
      <w:r w:rsidRPr="008E019E">
        <w:rPr>
          <w:rFonts w:ascii="標楷體" w:eastAsia="標楷體" w:hAnsi="標楷體" w:hint="eastAsia"/>
        </w:rPr>
        <w:t>)等參數計算出肝癌風險分數(圖五)，並進一步轉換成往後五年、十年及十五年期的肝癌罹患風險百分比(圖六)。此即為一有用的健康知識，</w:t>
      </w:r>
      <w:r w:rsidRPr="008E019E">
        <w:rPr>
          <w:rFonts w:ascii="標楷體" w:eastAsia="標楷體" w:hAnsi="標楷體" w:cs="新細明體" w:hint="eastAsia"/>
          <w:color w:val="555555"/>
          <w:spacing w:val="8"/>
          <w:szCs w:val="24"/>
        </w:rPr>
        <w:t>可以用於預測個體於特定時間內罹患肝癌的風險，並提供醫護人員或個體採行預防建議或措施的科學依據。</w:t>
      </w:r>
    </w:p>
    <w:p w:rsidR="008E019E" w:rsidRPr="008E019E" w:rsidRDefault="008E019E" w:rsidP="008E019E">
      <w:pPr>
        <w:widowControl/>
        <w:shd w:val="clear" w:color="auto" w:fill="FFFFFF"/>
        <w:jc w:val="center"/>
        <w:outlineLvl w:val="3"/>
        <w:rPr>
          <w:rFonts w:ascii="標楷體" w:eastAsia="標楷體" w:hAnsi="標楷體" w:cs="新細明體"/>
          <w:color w:val="555555"/>
          <w:spacing w:val="8"/>
          <w:szCs w:val="24"/>
        </w:rPr>
      </w:pPr>
      <w:r w:rsidRPr="008E019E">
        <w:rPr>
          <w:rFonts w:ascii="標楷體" w:eastAsia="標楷體" w:hAnsi="標楷體" w:cs="新細明體" w:hint="eastAsia"/>
          <w:noProof/>
          <w:color w:val="555555"/>
          <w:spacing w:val="8"/>
          <w:szCs w:val="24"/>
        </w:rPr>
        <w:drawing>
          <wp:inline distT="0" distB="0" distL="0" distR="0" wp14:anchorId="1E937DBE" wp14:editId="1B4B9ABF">
            <wp:extent cx="2637801" cy="3913632"/>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2596" cy="3920746"/>
                    </a:xfrm>
                    <a:prstGeom prst="rect">
                      <a:avLst/>
                    </a:prstGeom>
                    <a:noFill/>
                    <a:ln>
                      <a:noFill/>
                    </a:ln>
                  </pic:spPr>
                </pic:pic>
              </a:graphicData>
            </a:graphic>
          </wp:inline>
        </w:drawing>
      </w:r>
    </w:p>
    <w:p w:rsidR="008E019E" w:rsidRPr="008E019E" w:rsidRDefault="008E019E" w:rsidP="008E019E">
      <w:pPr>
        <w:widowControl/>
        <w:shd w:val="clear" w:color="auto" w:fill="FFFFFF"/>
        <w:jc w:val="center"/>
        <w:outlineLvl w:val="3"/>
        <w:rPr>
          <w:rFonts w:ascii="標楷體" w:eastAsia="標楷體" w:hAnsi="標楷體" w:cs="新細明體"/>
          <w:color w:val="555555"/>
          <w:spacing w:val="8"/>
          <w:szCs w:val="24"/>
        </w:rPr>
      </w:pPr>
      <w:r w:rsidRPr="008E019E">
        <w:rPr>
          <w:rFonts w:ascii="標楷體" w:eastAsia="標楷體" w:hAnsi="標楷體" w:cs="新細明體" w:hint="eastAsia"/>
          <w:color w:val="555555"/>
          <w:spacing w:val="8"/>
          <w:szCs w:val="24"/>
        </w:rPr>
        <w:t>圖五、肝癌風險分數計算方式(原文表三)</w:t>
      </w:r>
    </w:p>
    <w:p w:rsidR="008E019E" w:rsidRPr="008E019E" w:rsidRDefault="008E019E" w:rsidP="008E019E">
      <w:pPr>
        <w:widowControl/>
        <w:shd w:val="clear" w:color="auto" w:fill="FFFFFF"/>
        <w:jc w:val="center"/>
        <w:outlineLvl w:val="3"/>
        <w:rPr>
          <w:rFonts w:ascii="標楷體" w:eastAsia="標楷體" w:hAnsi="標楷體" w:cs="新細明體"/>
          <w:color w:val="555555"/>
          <w:spacing w:val="8"/>
          <w:szCs w:val="24"/>
        </w:rPr>
      </w:pPr>
      <w:r w:rsidRPr="008E019E">
        <w:rPr>
          <w:rFonts w:ascii="標楷體" w:eastAsia="標楷體" w:hAnsi="標楷體" w:cs="新細明體"/>
          <w:noProof/>
          <w:color w:val="555555"/>
          <w:spacing w:val="8"/>
          <w:szCs w:val="24"/>
        </w:rPr>
        <w:lastRenderedPageBreak/>
        <w:drawing>
          <wp:inline distT="0" distB="0" distL="0" distR="0" wp14:anchorId="3E7C581F" wp14:editId="434D62B8">
            <wp:extent cx="2830983" cy="2319795"/>
            <wp:effectExtent l="0" t="0" r="7620" b="444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2903" cy="2321368"/>
                    </a:xfrm>
                    <a:prstGeom prst="rect">
                      <a:avLst/>
                    </a:prstGeom>
                    <a:noFill/>
                    <a:ln>
                      <a:noFill/>
                    </a:ln>
                  </pic:spPr>
                </pic:pic>
              </a:graphicData>
            </a:graphic>
          </wp:inline>
        </w:drawing>
      </w:r>
    </w:p>
    <w:p w:rsidR="008E019E" w:rsidRPr="008E019E" w:rsidRDefault="008E019E" w:rsidP="008E019E">
      <w:pPr>
        <w:widowControl/>
        <w:shd w:val="clear" w:color="auto" w:fill="FFFFFF"/>
        <w:jc w:val="center"/>
        <w:outlineLvl w:val="3"/>
        <w:rPr>
          <w:rFonts w:ascii="標楷體" w:eastAsia="標楷體" w:hAnsi="標楷體" w:cs="新細明體"/>
          <w:color w:val="555555"/>
          <w:spacing w:val="8"/>
          <w:szCs w:val="24"/>
        </w:rPr>
      </w:pPr>
      <w:r w:rsidRPr="008E019E">
        <w:rPr>
          <w:rFonts w:ascii="標楷體" w:eastAsia="標楷體" w:hAnsi="標楷體" w:cs="新細明體" w:hint="eastAsia"/>
          <w:color w:val="555555"/>
          <w:spacing w:val="8"/>
          <w:szCs w:val="24"/>
        </w:rPr>
        <w:t>圖六、肝癌風險百分比(原文圖二)</w:t>
      </w:r>
    </w:p>
    <w:p w:rsidR="008E019E" w:rsidRPr="008E019E" w:rsidRDefault="008E019E" w:rsidP="008E019E">
      <w:pPr>
        <w:widowControl/>
        <w:shd w:val="clear" w:color="auto" w:fill="FFFFFF"/>
        <w:jc w:val="both"/>
        <w:outlineLvl w:val="3"/>
        <w:rPr>
          <w:rFonts w:ascii="標楷體" w:eastAsia="標楷體" w:hAnsi="標楷體" w:cs="新細明體"/>
          <w:color w:val="555555"/>
          <w:spacing w:val="8"/>
          <w:szCs w:val="24"/>
        </w:rPr>
      </w:pPr>
    </w:p>
    <w:p w:rsidR="008E019E" w:rsidRPr="008E019E" w:rsidRDefault="008E019E" w:rsidP="008E019E">
      <w:pPr>
        <w:pStyle w:val="a3"/>
        <w:numPr>
          <w:ilvl w:val="0"/>
          <w:numId w:val="1"/>
        </w:numPr>
        <w:ind w:leftChars="0"/>
        <w:rPr>
          <w:rFonts w:ascii="標楷體" w:eastAsia="標楷體" w:hAnsi="標楷體"/>
          <w:b/>
        </w:rPr>
      </w:pPr>
      <w:r w:rsidRPr="008E019E">
        <w:rPr>
          <w:rFonts w:ascii="標楷體" w:eastAsia="標楷體" w:hAnsi="標楷體" w:hint="eastAsia"/>
          <w:b/>
        </w:rPr>
        <w:t>將知識元件化</w:t>
      </w:r>
    </w:p>
    <w:p w:rsidR="008E019E" w:rsidRPr="008E019E" w:rsidRDefault="008E019E" w:rsidP="008E019E">
      <w:pPr>
        <w:jc w:val="both"/>
        <w:rPr>
          <w:rFonts w:ascii="標楷體" w:eastAsia="標楷體" w:hAnsi="標楷體"/>
        </w:rPr>
      </w:pPr>
      <w:r w:rsidRPr="008E019E">
        <w:rPr>
          <w:rFonts w:ascii="標楷體" w:eastAsia="標楷體" w:hAnsi="標楷體" w:hint="eastAsia"/>
        </w:rPr>
        <w:t>惟此一知識若僅以圖表方式存在於論文中，則十分不利於實務上的應用，因整個過程需包含以下步驟：(1)知曉此論文、(2)閱讀及了解論文內容、(</w:t>
      </w:r>
      <w:r w:rsidRPr="008E019E">
        <w:rPr>
          <w:rFonts w:ascii="標楷體" w:eastAsia="標楷體" w:hAnsi="標楷體"/>
        </w:rPr>
        <w:t>3)</w:t>
      </w:r>
      <w:r w:rsidRPr="008E019E">
        <w:rPr>
          <w:rFonts w:ascii="標楷體" w:eastAsia="標楷體" w:hAnsi="標楷體" w:hint="eastAsia"/>
        </w:rPr>
        <w:t>按論文提供的方法計算肝癌風險分數、(</w:t>
      </w:r>
      <w:r w:rsidRPr="008E019E">
        <w:rPr>
          <w:rFonts w:ascii="標楷體" w:eastAsia="標楷體" w:hAnsi="標楷體"/>
        </w:rPr>
        <w:t>4)</w:t>
      </w:r>
      <w:r w:rsidRPr="008E019E">
        <w:rPr>
          <w:rFonts w:ascii="標楷體" w:eastAsia="標楷體" w:hAnsi="標楷體" w:hint="eastAsia"/>
        </w:rPr>
        <w:t>按論文提供的方法推斷罹癌風險，這些步驟都存在著一定的門檻與成本，導致臨床上存在著高達17年的知識應用鴻溝(</w:t>
      </w:r>
      <w:r w:rsidRPr="008E019E">
        <w:rPr>
          <w:rFonts w:ascii="標楷體" w:eastAsia="標楷體" w:hAnsi="標楷體"/>
        </w:rPr>
        <w:t>Knowing-doing Gap</w:t>
      </w:r>
      <w:r w:rsidRPr="008E019E">
        <w:rPr>
          <w:rFonts w:ascii="標楷體" w:eastAsia="標楷體" w:hAnsi="標楷體" w:hint="eastAsia"/>
        </w:rPr>
        <w:t>)(圖七)，即便各單位可將此知識整合進資訊系統內，但需要透過閱讀、整理、吸收、編碼的過程，依然十分耗時耗力，而將此知識轉化為可計算化的知識元件型態，將可加快此一知識的普及應用，彌平此一鴻溝。負載此一知識的知識元件應該應包含適當的註記，例如參考文獻、使用方法</w:t>
      </w:r>
      <w:r w:rsidRPr="008E019E">
        <w:rPr>
          <w:rFonts w:ascii="標楷體" w:eastAsia="標楷體" w:hAnsi="標楷體"/>
        </w:rPr>
        <w:t>…</w:t>
      </w:r>
      <w:r w:rsidRPr="008E019E">
        <w:rPr>
          <w:rFonts w:ascii="標楷體" w:eastAsia="標楷體" w:hAnsi="標楷體" w:hint="eastAsia"/>
        </w:rPr>
        <w:t>等，並對輸入參數缺失等狀況有合適的提示以利使用。</w:t>
      </w:r>
    </w:p>
    <w:p w:rsidR="008E019E" w:rsidRPr="008E019E" w:rsidRDefault="008E019E" w:rsidP="008E019E">
      <w:pPr>
        <w:rPr>
          <w:rFonts w:ascii="標楷體" w:eastAsia="標楷體" w:hAnsi="標楷體"/>
        </w:rPr>
      </w:pPr>
    </w:p>
    <w:p w:rsidR="008E019E" w:rsidRPr="008E019E" w:rsidRDefault="008E019E" w:rsidP="008E019E">
      <w:pPr>
        <w:rPr>
          <w:rFonts w:ascii="標楷體" w:eastAsia="標楷體" w:hAnsi="標楷體"/>
        </w:rPr>
      </w:pPr>
      <w:r w:rsidRPr="008E019E">
        <w:rPr>
          <w:rFonts w:ascii="標楷體" w:eastAsia="標楷體" w:hAnsi="標楷體" w:hint="eastAsia"/>
          <w:noProof/>
        </w:rPr>
        <w:drawing>
          <wp:inline distT="0" distB="0" distL="0" distR="0" wp14:anchorId="0AD1154C" wp14:editId="122AC008">
            <wp:extent cx="5266690" cy="179197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6690" cy="1791970"/>
                    </a:xfrm>
                    <a:prstGeom prst="rect">
                      <a:avLst/>
                    </a:prstGeom>
                    <a:noFill/>
                    <a:ln>
                      <a:noFill/>
                    </a:ln>
                  </pic:spPr>
                </pic:pic>
              </a:graphicData>
            </a:graphic>
          </wp:inline>
        </w:drawing>
      </w:r>
    </w:p>
    <w:p w:rsidR="008E019E" w:rsidRPr="008E019E" w:rsidRDefault="008E019E" w:rsidP="008E019E">
      <w:pPr>
        <w:jc w:val="center"/>
        <w:rPr>
          <w:rFonts w:ascii="標楷體" w:eastAsia="標楷體" w:hAnsi="標楷體"/>
        </w:rPr>
      </w:pPr>
    </w:p>
    <w:p w:rsidR="008E019E" w:rsidRPr="008E019E" w:rsidRDefault="008E019E" w:rsidP="008E019E">
      <w:pPr>
        <w:jc w:val="center"/>
        <w:rPr>
          <w:rFonts w:ascii="標楷體" w:eastAsia="標楷體" w:hAnsi="標楷體"/>
        </w:rPr>
      </w:pPr>
      <w:r w:rsidRPr="008E019E">
        <w:rPr>
          <w:rFonts w:ascii="標楷體" w:eastAsia="標楷體" w:hAnsi="標楷體" w:hint="eastAsia"/>
        </w:rPr>
        <w:t>圖七、醫療知識應用的鴻溝</w:t>
      </w:r>
    </w:p>
    <w:p w:rsidR="008E019E" w:rsidRPr="008E019E" w:rsidRDefault="008E019E" w:rsidP="008E019E">
      <w:pPr>
        <w:jc w:val="center"/>
        <w:rPr>
          <w:rFonts w:ascii="標楷體" w:eastAsia="標楷體" w:hAnsi="標楷體"/>
        </w:rPr>
      </w:pPr>
    </w:p>
    <w:p w:rsidR="008E019E" w:rsidRPr="008E019E" w:rsidRDefault="008E019E" w:rsidP="008E019E">
      <w:pPr>
        <w:pStyle w:val="a3"/>
        <w:numPr>
          <w:ilvl w:val="0"/>
          <w:numId w:val="1"/>
        </w:numPr>
        <w:ind w:leftChars="0"/>
        <w:rPr>
          <w:rFonts w:ascii="標楷體" w:eastAsia="標楷體" w:hAnsi="標楷體"/>
          <w:b/>
        </w:rPr>
      </w:pPr>
      <w:r w:rsidRPr="008E019E">
        <w:rPr>
          <w:rFonts w:ascii="標楷體" w:eastAsia="標楷體" w:hAnsi="標楷體" w:hint="eastAsia"/>
          <w:b/>
        </w:rPr>
        <w:t>知識的運用與擴散</w:t>
      </w:r>
    </w:p>
    <w:p w:rsidR="008E019E" w:rsidRPr="008E019E" w:rsidRDefault="008E019E" w:rsidP="008E019E">
      <w:pPr>
        <w:widowControl/>
        <w:shd w:val="clear" w:color="auto" w:fill="FFFFFF"/>
        <w:jc w:val="both"/>
        <w:outlineLvl w:val="3"/>
        <w:rPr>
          <w:rFonts w:ascii="標楷體" w:eastAsia="標楷體" w:hAnsi="標楷體"/>
        </w:rPr>
      </w:pPr>
      <w:r w:rsidRPr="008E019E">
        <w:rPr>
          <w:rFonts w:ascii="標楷體" w:eastAsia="標楷體" w:hAnsi="標楷體" w:hint="eastAsia"/>
        </w:rPr>
        <w:t>將此知識元件化並透過活化器提供服務之後，因知識元件可供跨平台反覆使用的特性，此知識將可被本單位及外單位資訊系統反覆呼叫使用(圖八)，大幅節省重</w:t>
      </w:r>
      <w:r w:rsidRPr="008E019E">
        <w:rPr>
          <w:rFonts w:ascii="標楷體" w:eastAsia="標楷體" w:hAnsi="標楷體" w:hint="eastAsia"/>
        </w:rPr>
        <w:lastRenderedPageBreak/>
        <w:t>複開發置入資訊系統的時間與經費，此外亦可被移植到其他活化器所提供的服務上，大幅增加知識的擴散效率。</w:t>
      </w:r>
    </w:p>
    <w:p w:rsidR="008E019E" w:rsidRPr="008E019E" w:rsidRDefault="008E019E" w:rsidP="008E019E">
      <w:pPr>
        <w:widowControl/>
        <w:shd w:val="clear" w:color="auto" w:fill="FFFFFF"/>
        <w:jc w:val="center"/>
        <w:outlineLvl w:val="3"/>
        <w:rPr>
          <w:rFonts w:ascii="標楷體" w:eastAsia="標楷體" w:hAnsi="標楷體"/>
        </w:rPr>
      </w:pPr>
      <w:r w:rsidRPr="008E019E">
        <w:rPr>
          <w:rFonts w:ascii="標楷體" w:eastAsia="標楷體" w:hAnsi="標楷體" w:hint="eastAsia"/>
          <w:noProof/>
        </w:rPr>
        <w:drawing>
          <wp:inline distT="0" distB="0" distL="0" distR="0" wp14:anchorId="0D15A7F5" wp14:editId="12D92C90">
            <wp:extent cx="1806854" cy="2072568"/>
            <wp:effectExtent l="0" t="0" r="3175" b="444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12409" cy="2078940"/>
                    </a:xfrm>
                    <a:prstGeom prst="rect">
                      <a:avLst/>
                    </a:prstGeom>
                    <a:noFill/>
                    <a:ln>
                      <a:noFill/>
                    </a:ln>
                  </pic:spPr>
                </pic:pic>
              </a:graphicData>
            </a:graphic>
          </wp:inline>
        </w:drawing>
      </w:r>
    </w:p>
    <w:p w:rsidR="008E019E" w:rsidRPr="008E019E" w:rsidRDefault="008E019E" w:rsidP="008E019E">
      <w:pPr>
        <w:widowControl/>
        <w:shd w:val="clear" w:color="auto" w:fill="FFFFFF"/>
        <w:jc w:val="center"/>
        <w:outlineLvl w:val="3"/>
        <w:rPr>
          <w:rFonts w:ascii="標楷體" w:eastAsia="標楷體" w:hAnsi="標楷體" w:cs="新細明體"/>
          <w:color w:val="000000" w:themeColor="text1"/>
          <w:spacing w:val="8"/>
          <w:szCs w:val="24"/>
        </w:rPr>
      </w:pPr>
      <w:r w:rsidRPr="008E019E">
        <w:rPr>
          <w:rFonts w:ascii="標楷體" w:eastAsia="標楷體" w:hAnsi="標楷體" w:cs="新細明體" w:hint="eastAsia"/>
          <w:color w:val="000000" w:themeColor="text1"/>
          <w:spacing w:val="8"/>
          <w:szCs w:val="24"/>
        </w:rPr>
        <w:t>圖八、負載特定知識的知識元件只需開發一次便可分享給眾多醫療機構反覆使用</w:t>
      </w:r>
    </w:p>
    <w:p w:rsidR="008E019E" w:rsidRPr="008E019E" w:rsidRDefault="008E019E" w:rsidP="008E019E">
      <w:pPr>
        <w:widowControl/>
        <w:shd w:val="clear" w:color="auto" w:fill="FFFFFF"/>
        <w:jc w:val="center"/>
        <w:outlineLvl w:val="3"/>
        <w:rPr>
          <w:rFonts w:ascii="標楷體" w:eastAsia="標楷體" w:hAnsi="標楷體" w:cs="新細明體"/>
          <w:color w:val="000000" w:themeColor="text1"/>
          <w:spacing w:val="8"/>
          <w:szCs w:val="24"/>
        </w:rPr>
      </w:pPr>
      <w:r w:rsidRPr="008E019E">
        <w:rPr>
          <w:rFonts w:ascii="標楷體" w:eastAsia="標楷體" w:hAnsi="標楷體" w:cs="新細明體" w:hint="eastAsia"/>
          <w:color w:val="000000" w:themeColor="text1"/>
          <w:spacing w:val="8"/>
          <w:szCs w:val="24"/>
        </w:rPr>
        <w:t xml:space="preserve"> </w:t>
      </w:r>
    </w:p>
    <w:p w:rsidR="008E019E" w:rsidRPr="008E019E" w:rsidRDefault="008E019E" w:rsidP="008E019E">
      <w:pPr>
        <w:widowControl/>
        <w:shd w:val="clear" w:color="auto" w:fill="FFFFFF"/>
        <w:jc w:val="both"/>
        <w:outlineLvl w:val="3"/>
        <w:rPr>
          <w:rFonts w:ascii="標楷體" w:eastAsia="標楷體" w:hAnsi="標楷體" w:cs="新細明體"/>
          <w:b/>
          <w:color w:val="000000" w:themeColor="text1"/>
          <w:spacing w:val="8"/>
          <w:szCs w:val="24"/>
        </w:rPr>
      </w:pPr>
      <w:r w:rsidRPr="008E019E">
        <w:rPr>
          <w:rFonts w:ascii="標楷體" w:eastAsia="標楷體" w:hAnsi="標楷體" w:cs="新細明體" w:hint="eastAsia"/>
          <w:b/>
          <w:color w:val="000000" w:themeColor="text1"/>
          <w:spacing w:val="8"/>
          <w:szCs w:val="24"/>
        </w:rPr>
        <w:t>三、網路參考資源</w:t>
      </w:r>
    </w:p>
    <w:p w:rsidR="008E019E" w:rsidRPr="008E019E" w:rsidRDefault="008E019E" w:rsidP="008E019E">
      <w:pPr>
        <w:pStyle w:val="a3"/>
        <w:numPr>
          <w:ilvl w:val="0"/>
          <w:numId w:val="2"/>
        </w:numPr>
        <w:ind w:leftChars="0"/>
        <w:jc w:val="both"/>
        <w:rPr>
          <w:rFonts w:ascii="標楷體" w:eastAsia="標楷體" w:hAnsi="標楷體"/>
          <w:b/>
          <w:color w:val="000000" w:themeColor="text1"/>
        </w:rPr>
      </w:pPr>
      <w:r w:rsidRPr="008E019E">
        <w:rPr>
          <w:rFonts w:ascii="標楷體" w:eastAsia="標楷體" w:hAnsi="標楷體" w:hint="eastAsia"/>
          <w:b/>
          <w:color w:val="000000" w:themeColor="text1"/>
        </w:rPr>
        <w:t>關於系統</w:t>
      </w:r>
    </w:p>
    <w:p w:rsidR="008E019E" w:rsidRPr="008E019E" w:rsidRDefault="008E019E" w:rsidP="008E019E">
      <w:pPr>
        <w:pStyle w:val="a3"/>
        <w:numPr>
          <w:ilvl w:val="0"/>
          <w:numId w:val="3"/>
        </w:numPr>
        <w:ind w:leftChars="0"/>
        <w:jc w:val="both"/>
        <w:rPr>
          <w:rFonts w:ascii="標楷體" w:eastAsia="標楷體" w:hAnsi="標楷體"/>
        </w:rPr>
      </w:pPr>
      <w:r w:rsidRPr="008E019E">
        <w:rPr>
          <w:rFonts w:ascii="標楷體" w:eastAsia="標楷體" w:hAnsi="標楷體" w:hint="eastAsia"/>
        </w:rPr>
        <w:t>知識網格開發者主網站：</w:t>
      </w:r>
      <w:hyperlink r:id="rId15" w:history="1">
        <w:r w:rsidRPr="008E019E">
          <w:rPr>
            <w:rStyle w:val="a4"/>
            <w:rFonts w:ascii="標楷體" w:eastAsia="標楷體" w:hAnsi="標楷體"/>
          </w:rPr>
          <w:t>http://kgrid.org</w:t>
        </w:r>
      </w:hyperlink>
    </w:p>
    <w:p w:rsidR="008E019E" w:rsidRPr="008E019E" w:rsidRDefault="008E019E" w:rsidP="008E019E">
      <w:pPr>
        <w:pStyle w:val="a3"/>
        <w:numPr>
          <w:ilvl w:val="0"/>
          <w:numId w:val="3"/>
        </w:numPr>
        <w:ind w:leftChars="0"/>
        <w:jc w:val="both"/>
        <w:rPr>
          <w:rFonts w:ascii="標楷體" w:eastAsia="標楷體" w:hAnsi="標楷體"/>
        </w:rPr>
      </w:pPr>
      <w:r w:rsidRPr="008E019E">
        <w:rPr>
          <w:rFonts w:ascii="標楷體" w:eastAsia="標楷體" w:hAnsi="標楷體" w:hint="eastAsia"/>
        </w:rPr>
        <w:t xml:space="preserve">取得活化器: </w:t>
      </w:r>
      <w:hyperlink r:id="rId16" w:history="1">
        <w:r w:rsidRPr="008E019E">
          <w:rPr>
            <w:rStyle w:val="a4"/>
            <w:rFonts w:ascii="標楷體" w:eastAsia="標楷體" w:hAnsi="標楷體"/>
          </w:rPr>
          <w:t>https://github.com/kgrid/</w:t>
        </w:r>
      </w:hyperlink>
    </w:p>
    <w:p w:rsidR="008E019E" w:rsidRPr="008E019E" w:rsidRDefault="008E019E" w:rsidP="008E019E">
      <w:pPr>
        <w:pStyle w:val="a3"/>
        <w:numPr>
          <w:ilvl w:val="0"/>
          <w:numId w:val="3"/>
        </w:numPr>
        <w:ind w:leftChars="0"/>
        <w:jc w:val="both"/>
        <w:rPr>
          <w:rFonts w:ascii="標楷體" w:eastAsia="標楷體" w:hAnsi="標楷體"/>
        </w:rPr>
      </w:pPr>
      <w:r w:rsidRPr="008E019E">
        <w:rPr>
          <w:rFonts w:ascii="標楷體" w:eastAsia="標楷體" w:hAnsi="標楷體" w:hint="eastAsia"/>
        </w:rPr>
        <w:t xml:space="preserve">活化器安裝說明: </w:t>
      </w:r>
      <w:hyperlink r:id="rId17" w:history="1">
        <w:r w:rsidRPr="008E019E">
          <w:rPr>
            <w:rStyle w:val="a4"/>
            <w:rFonts w:ascii="標楷體" w:eastAsia="標楷體" w:hAnsi="標楷體"/>
          </w:rPr>
          <w:t>http://kgrid.org/kgrid-activator/</w:t>
        </w:r>
      </w:hyperlink>
    </w:p>
    <w:p w:rsidR="008E019E" w:rsidRPr="008E019E" w:rsidRDefault="008E019E" w:rsidP="008E019E">
      <w:pPr>
        <w:pStyle w:val="a3"/>
        <w:numPr>
          <w:ilvl w:val="0"/>
          <w:numId w:val="2"/>
        </w:numPr>
        <w:ind w:leftChars="0"/>
        <w:jc w:val="both"/>
        <w:rPr>
          <w:rFonts w:ascii="標楷體" w:eastAsia="標楷體" w:hAnsi="標楷體"/>
          <w:b/>
        </w:rPr>
      </w:pPr>
      <w:r w:rsidRPr="008E019E">
        <w:rPr>
          <w:rFonts w:ascii="標楷體" w:eastAsia="標楷體" w:hAnsi="標楷體" w:hint="eastAsia"/>
          <w:b/>
        </w:rPr>
        <w:t>知識元件的製作與使用</w:t>
      </w:r>
    </w:p>
    <w:p w:rsidR="008E019E" w:rsidRPr="008E019E" w:rsidRDefault="008E019E" w:rsidP="008E019E">
      <w:pPr>
        <w:pStyle w:val="a3"/>
        <w:numPr>
          <w:ilvl w:val="0"/>
          <w:numId w:val="4"/>
        </w:numPr>
        <w:ind w:leftChars="0"/>
        <w:jc w:val="both"/>
        <w:rPr>
          <w:rFonts w:ascii="標楷體" w:eastAsia="標楷體" w:hAnsi="標楷體"/>
        </w:rPr>
      </w:pPr>
      <w:r w:rsidRPr="008E019E">
        <w:rPr>
          <w:rFonts w:ascii="標楷體" w:eastAsia="標楷體" w:hAnsi="標楷體" w:hint="eastAsia"/>
        </w:rPr>
        <w:t xml:space="preserve">知識元件製作說明: </w:t>
      </w:r>
      <w:hyperlink r:id="rId18" w:history="1">
        <w:r w:rsidRPr="008E019E">
          <w:rPr>
            <w:rStyle w:val="a4"/>
            <w:rFonts w:ascii="標楷體" w:eastAsia="標楷體" w:hAnsi="標楷體"/>
          </w:rPr>
          <w:t>http://kgrid.org/AuthoringManual/</w:t>
        </w:r>
      </w:hyperlink>
    </w:p>
    <w:p w:rsidR="008E019E" w:rsidRPr="008E019E" w:rsidRDefault="008E019E" w:rsidP="008E019E">
      <w:pPr>
        <w:pStyle w:val="a3"/>
        <w:numPr>
          <w:ilvl w:val="0"/>
          <w:numId w:val="4"/>
        </w:numPr>
        <w:ind w:leftChars="0"/>
        <w:jc w:val="both"/>
        <w:rPr>
          <w:rFonts w:ascii="標楷體" w:eastAsia="標楷體" w:hAnsi="標楷體"/>
        </w:rPr>
      </w:pPr>
      <w:r w:rsidRPr="008E019E">
        <w:rPr>
          <w:rFonts w:ascii="標楷體" w:eastAsia="標楷體" w:hAnsi="標楷體" w:hint="eastAsia"/>
        </w:rPr>
        <w:t xml:space="preserve">知識元件使用說明: </w:t>
      </w:r>
      <w:hyperlink r:id="rId19" w:history="1">
        <w:r w:rsidRPr="008E019E">
          <w:rPr>
            <w:rStyle w:val="a4"/>
            <w:rFonts w:ascii="標楷體" w:eastAsia="標楷體" w:hAnsi="標楷體"/>
          </w:rPr>
          <w:t>http://kgrid.org/ActivatorManual/</w:t>
        </w:r>
      </w:hyperlink>
    </w:p>
    <w:p w:rsidR="008E019E" w:rsidRPr="008E019E" w:rsidRDefault="008E019E" w:rsidP="008E019E">
      <w:pPr>
        <w:pStyle w:val="a3"/>
        <w:numPr>
          <w:ilvl w:val="0"/>
          <w:numId w:val="2"/>
        </w:numPr>
        <w:ind w:leftChars="0"/>
        <w:jc w:val="both"/>
        <w:rPr>
          <w:rFonts w:ascii="標楷體" w:eastAsia="標楷體" w:hAnsi="標楷體"/>
          <w:b/>
        </w:rPr>
      </w:pPr>
      <w:r w:rsidRPr="008E019E">
        <w:rPr>
          <w:rFonts w:ascii="標楷體" w:eastAsia="標楷體" w:hAnsi="標楷體" w:hint="eastAsia"/>
          <w:b/>
        </w:rPr>
        <w:t>知識元件的結構</w:t>
      </w:r>
    </w:p>
    <w:p w:rsidR="008E019E" w:rsidRPr="008E019E" w:rsidRDefault="008E019E" w:rsidP="008E019E">
      <w:pPr>
        <w:pStyle w:val="a3"/>
        <w:numPr>
          <w:ilvl w:val="0"/>
          <w:numId w:val="5"/>
        </w:numPr>
        <w:ind w:leftChars="0"/>
        <w:jc w:val="both"/>
        <w:rPr>
          <w:rFonts w:ascii="標楷體" w:eastAsia="標楷體" w:hAnsi="標楷體"/>
        </w:rPr>
      </w:pPr>
      <w:r w:rsidRPr="008E019E">
        <w:rPr>
          <w:rFonts w:ascii="標楷體" w:eastAsia="標楷體" w:hAnsi="標楷體" w:hint="eastAsia"/>
        </w:rPr>
        <w:t>包含</w:t>
      </w:r>
      <w:r w:rsidRPr="008E019E">
        <w:rPr>
          <w:rFonts w:ascii="標楷體" w:eastAsia="標楷體" w:hAnsi="標楷體"/>
        </w:rPr>
        <w:t>MetaData</w:t>
      </w:r>
      <w:r w:rsidRPr="008E019E">
        <w:rPr>
          <w:rFonts w:ascii="標楷體" w:eastAsia="標楷體" w:hAnsi="標楷體" w:hint="eastAsia"/>
        </w:rPr>
        <w:t>、</w:t>
      </w:r>
      <w:r w:rsidRPr="008E019E">
        <w:rPr>
          <w:rFonts w:ascii="標楷體" w:eastAsia="標楷體" w:hAnsi="標楷體"/>
        </w:rPr>
        <w:t>Payload</w:t>
      </w:r>
      <w:r w:rsidRPr="008E019E">
        <w:rPr>
          <w:rFonts w:ascii="標楷體" w:eastAsia="標楷體" w:hAnsi="標楷體" w:hint="eastAsia"/>
        </w:rPr>
        <w:t>、</w:t>
      </w:r>
      <w:r w:rsidRPr="008E019E">
        <w:rPr>
          <w:rFonts w:ascii="標楷體" w:eastAsia="標楷體" w:hAnsi="標楷體"/>
        </w:rPr>
        <w:t>Input Message</w:t>
      </w:r>
      <w:r w:rsidRPr="008E019E">
        <w:rPr>
          <w:rFonts w:ascii="標楷體" w:eastAsia="標楷體" w:hAnsi="標楷體" w:hint="eastAsia"/>
        </w:rPr>
        <w:t>、</w:t>
      </w:r>
      <w:r w:rsidRPr="008E019E">
        <w:rPr>
          <w:rFonts w:ascii="標楷體" w:eastAsia="標楷體" w:hAnsi="標楷體"/>
        </w:rPr>
        <w:t>Output Message</w:t>
      </w:r>
      <w:r w:rsidRPr="008E019E">
        <w:rPr>
          <w:rFonts w:ascii="標楷體" w:eastAsia="標楷體" w:hAnsi="標楷體" w:hint="eastAsia"/>
        </w:rPr>
        <w:t>，格式分別是JSON、Python、RDF及RDF</w:t>
      </w:r>
    </w:p>
    <w:p w:rsidR="008E019E" w:rsidRPr="008E019E" w:rsidRDefault="008E019E" w:rsidP="008E019E">
      <w:pPr>
        <w:pStyle w:val="a3"/>
        <w:numPr>
          <w:ilvl w:val="0"/>
          <w:numId w:val="5"/>
        </w:numPr>
        <w:ind w:leftChars="0"/>
        <w:jc w:val="both"/>
        <w:rPr>
          <w:rFonts w:ascii="標楷體" w:eastAsia="標楷體" w:hAnsi="標楷體"/>
        </w:rPr>
      </w:pPr>
      <w:r w:rsidRPr="008E019E">
        <w:rPr>
          <w:rFonts w:ascii="標楷體" w:eastAsia="標楷體" w:hAnsi="標楷體" w:hint="eastAsia"/>
        </w:rPr>
        <w:t xml:space="preserve">知識元件範例參考網址: </w:t>
      </w:r>
      <w:hyperlink r:id="rId20" w:history="1">
        <w:r w:rsidRPr="008E019E">
          <w:rPr>
            <w:rStyle w:val="a4"/>
            <w:rFonts w:ascii="標楷體" w:eastAsia="標楷體" w:hAnsi="標楷體"/>
          </w:rPr>
          <w:t>http://lhs.wanfang.gov.tw:8066/</w:t>
        </w:r>
      </w:hyperlink>
    </w:p>
    <w:p w:rsidR="008E019E" w:rsidRPr="00F225DF" w:rsidRDefault="008E019E" w:rsidP="008E019E">
      <w:pPr>
        <w:widowControl/>
        <w:shd w:val="clear" w:color="auto" w:fill="FFFFFF"/>
        <w:jc w:val="both"/>
        <w:outlineLvl w:val="3"/>
        <w:rPr>
          <w:rFonts w:ascii="標楷體" w:eastAsia="標楷體" w:hAnsi="標楷體" w:cs="新細明體"/>
          <w:color w:val="555555"/>
          <w:spacing w:val="8"/>
          <w:szCs w:val="24"/>
        </w:rPr>
      </w:pPr>
    </w:p>
    <w:p w:rsidR="00E05A3C" w:rsidRDefault="00E05A3C" w:rsidP="00E05A3C">
      <w:pPr>
        <w:widowControl/>
        <w:shd w:val="clear" w:color="auto" w:fill="FFFFFF"/>
        <w:rPr>
          <w:rFonts w:ascii="標楷體" w:eastAsia="標楷體" w:hAnsi="標楷體"/>
          <w:color w:val="222222"/>
          <w:szCs w:val="24"/>
        </w:rPr>
      </w:pPr>
      <w:r>
        <w:rPr>
          <w:rFonts w:ascii="標楷體" w:eastAsia="標楷體" w:hAnsi="標楷體" w:hint="eastAsia"/>
          <w:color w:val="222222"/>
          <w:szCs w:val="24"/>
        </w:rPr>
        <w:t>誌謝：</w:t>
      </w:r>
    </w:p>
    <w:p w:rsidR="00E05A3C" w:rsidRPr="001B0A83" w:rsidRDefault="00E05A3C" w:rsidP="00E05A3C">
      <w:pPr>
        <w:widowControl/>
        <w:shd w:val="clear" w:color="auto" w:fill="FFFFFF"/>
        <w:rPr>
          <w:rFonts w:ascii="標楷體" w:eastAsia="標楷體" w:hAnsi="標楷體"/>
          <w:color w:val="222222"/>
          <w:szCs w:val="24"/>
        </w:rPr>
      </w:pPr>
      <w:r>
        <w:rPr>
          <w:rFonts w:ascii="標楷體" w:eastAsia="標楷體" w:hAnsi="標楷體" w:hint="eastAsia"/>
          <w:color w:val="222222"/>
          <w:szCs w:val="24"/>
        </w:rPr>
        <w:t>知識網格中文技術手冊之編寫係由以下單位及計畫支持 -</w:t>
      </w:r>
    </w:p>
    <w:p w:rsidR="00E05A3C" w:rsidRPr="00502C8F" w:rsidRDefault="00E05A3C" w:rsidP="00E05A3C">
      <w:pPr>
        <w:widowControl/>
        <w:shd w:val="clear" w:color="auto" w:fill="FFFFFF"/>
        <w:rPr>
          <w:rFonts w:ascii="標楷體" w:eastAsia="標楷體" w:hAnsi="標楷體" w:cs="Arial"/>
          <w:szCs w:val="24"/>
          <w:shd w:val="clear" w:color="auto" w:fill="FFFFFF"/>
        </w:rPr>
      </w:pPr>
      <w:r w:rsidRPr="00502C8F">
        <w:rPr>
          <w:rFonts w:ascii="標楷體" w:eastAsia="標楷體" w:hAnsi="標楷體" w:cs="Arial" w:hint="eastAsia"/>
          <w:szCs w:val="24"/>
          <w:shd w:val="clear" w:color="auto" w:fill="FFFFFF"/>
        </w:rPr>
        <w:t>臺北醫學大學健康資訊科技國際研究中心</w:t>
      </w:r>
    </w:p>
    <w:p w:rsidR="00E05A3C" w:rsidRPr="00502C8F" w:rsidRDefault="00E05A3C" w:rsidP="00E05A3C">
      <w:pPr>
        <w:widowControl/>
        <w:shd w:val="clear" w:color="auto" w:fill="FFFFFF"/>
        <w:rPr>
          <w:rFonts w:ascii="標楷體" w:eastAsia="標楷體" w:hAnsi="標楷體" w:cs="微軟正黑體"/>
          <w:szCs w:val="24"/>
          <w:shd w:val="clear" w:color="auto" w:fill="FFFFFF"/>
        </w:rPr>
      </w:pPr>
      <w:r w:rsidRPr="00502C8F">
        <w:rPr>
          <w:rFonts w:ascii="標楷體" w:eastAsia="標楷體" w:hAnsi="標楷體" w:cs="Arial" w:hint="eastAsia"/>
          <w:szCs w:val="24"/>
          <w:shd w:val="clear" w:color="auto" w:fill="FFFFFF"/>
        </w:rPr>
        <w:t>國家衛生研究院</w:t>
      </w:r>
      <w:r>
        <w:rPr>
          <w:rFonts w:ascii="標楷體" w:eastAsia="標楷體" w:hAnsi="標楷體" w:cs="Arial" w:hint="eastAsia"/>
          <w:szCs w:val="24"/>
          <w:shd w:val="clear" w:color="auto" w:fill="FFFFFF"/>
        </w:rPr>
        <w:t>-</w:t>
      </w:r>
      <w:r w:rsidRPr="00502C8F">
        <w:rPr>
          <w:rFonts w:ascii="標楷體" w:eastAsia="標楷體" w:hAnsi="標楷體" w:cs="微軟正黑體" w:hint="eastAsia"/>
          <w:shd w:val="clear" w:color="auto" w:fill="FFFFFF"/>
        </w:rPr>
        <w:t>「</w:t>
      </w:r>
      <w:r w:rsidRPr="00502C8F">
        <w:rPr>
          <w:rFonts w:ascii="標楷體" w:eastAsia="標楷體" w:hAnsi="標楷體" w:cs="Arial"/>
          <w:szCs w:val="24"/>
          <w:shd w:val="clear" w:color="auto" w:fill="FFFFFF"/>
        </w:rPr>
        <w:t>亞太生醫矽谷精準醫療旗艦計</w:t>
      </w:r>
      <w:r w:rsidRPr="00502C8F">
        <w:rPr>
          <w:rFonts w:ascii="標楷體" w:eastAsia="標楷體" w:hAnsi="標楷體" w:cs="微軟正黑體" w:hint="eastAsia"/>
          <w:szCs w:val="24"/>
          <w:shd w:val="clear" w:color="auto" w:fill="FFFFFF"/>
        </w:rPr>
        <w:t>畫-臺北醫學大學合作案</w:t>
      </w:r>
      <w:r w:rsidRPr="00502C8F">
        <w:rPr>
          <w:rFonts w:ascii="標楷體" w:eastAsia="標楷體" w:hAnsi="標楷體" w:cs="微軟正黑體" w:hint="eastAsia"/>
          <w:shd w:val="clear" w:color="auto" w:fill="FFFFFF"/>
        </w:rPr>
        <w:t>」</w:t>
      </w:r>
    </w:p>
    <w:p w:rsidR="00E05A3C" w:rsidRPr="00502C8F" w:rsidRDefault="00E05A3C" w:rsidP="00E05A3C">
      <w:pPr>
        <w:widowControl/>
        <w:shd w:val="clear" w:color="auto" w:fill="FFFFFF"/>
        <w:rPr>
          <w:rFonts w:ascii="標楷體" w:eastAsia="標楷體" w:hAnsi="標楷體" w:cs="Arial"/>
          <w:szCs w:val="24"/>
          <w:shd w:val="clear" w:color="auto" w:fill="FFFFFF"/>
        </w:rPr>
      </w:pPr>
      <w:r w:rsidRPr="00502C8F">
        <w:rPr>
          <w:rFonts w:ascii="標楷體" w:eastAsia="標楷體" w:hAnsi="標楷體" w:cs="Arial"/>
          <w:shd w:val="clear" w:color="auto" w:fill="FFFFFF"/>
        </w:rPr>
        <w:t>臺北醫學大學-市立萬芳醫院專題研究計</w:t>
      </w:r>
      <w:r w:rsidRPr="00502C8F">
        <w:rPr>
          <w:rFonts w:ascii="標楷體" w:eastAsia="標楷體" w:hAnsi="標楷體" w:cs="微軟正黑體" w:hint="eastAsia"/>
          <w:shd w:val="clear" w:color="auto" w:fill="FFFFFF"/>
        </w:rPr>
        <w:t>畫</w:t>
      </w:r>
      <w:r>
        <w:rPr>
          <w:rFonts w:ascii="標楷體" w:eastAsia="標楷體" w:hAnsi="標楷體" w:cs="微軟正黑體"/>
          <w:shd w:val="clear" w:color="auto" w:fill="FFFFFF"/>
        </w:rPr>
        <w:t>-</w:t>
      </w:r>
      <w:r w:rsidRPr="00502C8F">
        <w:rPr>
          <w:rFonts w:ascii="標楷體" w:eastAsia="標楷體" w:hAnsi="標楷體" w:cs="微軟正黑體" w:hint="eastAsia"/>
          <w:shd w:val="clear" w:color="auto" w:fill="FFFFFF"/>
        </w:rPr>
        <w:t>「打造亞太第一家學習型健康系統醫院」</w:t>
      </w:r>
    </w:p>
    <w:p w:rsidR="008E019E" w:rsidRPr="00E05A3C" w:rsidRDefault="008E019E" w:rsidP="008E019E">
      <w:pPr>
        <w:widowControl/>
        <w:shd w:val="clear" w:color="auto" w:fill="FFFFFF"/>
        <w:jc w:val="both"/>
        <w:outlineLvl w:val="3"/>
        <w:rPr>
          <w:rFonts w:ascii="標楷體" w:eastAsia="標楷體" w:hAnsi="標楷體" w:cs="新細明體"/>
          <w:color w:val="555555"/>
          <w:spacing w:val="8"/>
          <w:szCs w:val="24"/>
        </w:rPr>
      </w:pPr>
    </w:p>
    <w:p w:rsidR="008E019E" w:rsidRPr="002D4306" w:rsidRDefault="008E019E" w:rsidP="008E019E"/>
    <w:p w:rsidR="002275B1" w:rsidRPr="008E019E" w:rsidRDefault="002275B1"/>
    <w:sectPr w:rsidR="002275B1" w:rsidRPr="008E019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28D7" w:rsidRDefault="002128D7" w:rsidP="00E05A3C">
      <w:pPr>
        <w:spacing w:line="240" w:lineRule="auto"/>
      </w:pPr>
      <w:r>
        <w:separator/>
      </w:r>
    </w:p>
  </w:endnote>
  <w:endnote w:type="continuationSeparator" w:id="0">
    <w:p w:rsidR="002128D7" w:rsidRDefault="002128D7" w:rsidP="00E05A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Open Sans">
    <w:altName w:val="Times New Roman"/>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43"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28D7" w:rsidRDefault="002128D7" w:rsidP="00E05A3C">
      <w:pPr>
        <w:spacing w:line="240" w:lineRule="auto"/>
      </w:pPr>
      <w:r>
        <w:separator/>
      </w:r>
    </w:p>
  </w:footnote>
  <w:footnote w:type="continuationSeparator" w:id="0">
    <w:p w:rsidR="002128D7" w:rsidRDefault="002128D7" w:rsidP="00E05A3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24E63"/>
    <w:multiLevelType w:val="hybridMultilevel"/>
    <w:tmpl w:val="A9F00A04"/>
    <w:lvl w:ilvl="0" w:tplc="C0C49EA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FEE5925"/>
    <w:multiLevelType w:val="hybridMultilevel"/>
    <w:tmpl w:val="D6A03F3A"/>
    <w:lvl w:ilvl="0" w:tplc="D3480B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0ED148D"/>
    <w:multiLevelType w:val="hybridMultilevel"/>
    <w:tmpl w:val="A872CB58"/>
    <w:lvl w:ilvl="0" w:tplc="FCA03690">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2F447A81"/>
    <w:multiLevelType w:val="hybridMultilevel"/>
    <w:tmpl w:val="582AC3AC"/>
    <w:lvl w:ilvl="0" w:tplc="7534C04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4E36332E"/>
    <w:multiLevelType w:val="hybridMultilevel"/>
    <w:tmpl w:val="58C4D090"/>
    <w:lvl w:ilvl="0" w:tplc="5D6664C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19E"/>
    <w:rsid w:val="002128D7"/>
    <w:rsid w:val="002275B1"/>
    <w:rsid w:val="008E019E"/>
    <w:rsid w:val="00E05A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83ACE7"/>
  <w15:chartTrackingRefBased/>
  <w15:docId w15:val="{F2C2B60B-8556-4700-98BD-3BC89B1EC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019E"/>
    <w:pPr>
      <w:widowControl w:val="0"/>
      <w:adjustRightInd w:val="0"/>
      <w:spacing w:line="360" w:lineRule="atLeast"/>
      <w:textAlignment w:val="baseline"/>
    </w:pPr>
    <w:rPr>
      <w:rFonts w:ascii="Times New Roman" w:eastAsia="新細明體" w:hAnsi="Times New Roman" w:cs="Times New Roman"/>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019E"/>
    <w:pPr>
      <w:adjustRightInd/>
      <w:spacing w:line="240" w:lineRule="auto"/>
      <w:ind w:leftChars="200" w:left="480"/>
      <w:textAlignment w:val="auto"/>
    </w:pPr>
    <w:rPr>
      <w:rFonts w:asciiTheme="minorHAnsi" w:eastAsiaTheme="minorEastAsia" w:hAnsiTheme="minorHAnsi" w:cstheme="minorBidi"/>
      <w:kern w:val="2"/>
      <w:szCs w:val="22"/>
    </w:rPr>
  </w:style>
  <w:style w:type="character" w:styleId="a4">
    <w:name w:val="Hyperlink"/>
    <w:basedOn w:val="a0"/>
    <w:uiPriority w:val="99"/>
    <w:unhideWhenUsed/>
    <w:rsid w:val="008E019E"/>
    <w:rPr>
      <w:color w:val="0563C1" w:themeColor="hyperlink"/>
      <w:u w:val="single"/>
    </w:rPr>
  </w:style>
  <w:style w:type="paragraph" w:styleId="a5">
    <w:name w:val="header"/>
    <w:basedOn w:val="a"/>
    <w:link w:val="a6"/>
    <w:uiPriority w:val="99"/>
    <w:unhideWhenUsed/>
    <w:rsid w:val="00E05A3C"/>
    <w:pPr>
      <w:tabs>
        <w:tab w:val="center" w:pos="4153"/>
        <w:tab w:val="right" w:pos="8306"/>
      </w:tabs>
      <w:snapToGrid w:val="0"/>
    </w:pPr>
    <w:rPr>
      <w:sz w:val="20"/>
    </w:rPr>
  </w:style>
  <w:style w:type="character" w:customStyle="1" w:styleId="a6">
    <w:name w:val="頁首 字元"/>
    <w:basedOn w:val="a0"/>
    <w:link w:val="a5"/>
    <w:uiPriority w:val="99"/>
    <w:rsid w:val="00E05A3C"/>
    <w:rPr>
      <w:rFonts w:ascii="Times New Roman" w:eastAsia="新細明體" w:hAnsi="Times New Roman" w:cs="Times New Roman"/>
      <w:kern w:val="0"/>
      <w:sz w:val="20"/>
      <w:szCs w:val="20"/>
    </w:rPr>
  </w:style>
  <w:style w:type="paragraph" w:styleId="a7">
    <w:name w:val="footer"/>
    <w:basedOn w:val="a"/>
    <w:link w:val="a8"/>
    <w:uiPriority w:val="99"/>
    <w:unhideWhenUsed/>
    <w:rsid w:val="00E05A3C"/>
    <w:pPr>
      <w:tabs>
        <w:tab w:val="center" w:pos="4153"/>
        <w:tab w:val="right" w:pos="8306"/>
      </w:tabs>
      <w:snapToGrid w:val="0"/>
    </w:pPr>
    <w:rPr>
      <w:sz w:val="20"/>
    </w:rPr>
  </w:style>
  <w:style w:type="character" w:customStyle="1" w:styleId="a8">
    <w:name w:val="頁尾 字元"/>
    <w:basedOn w:val="a0"/>
    <w:link w:val="a7"/>
    <w:uiPriority w:val="99"/>
    <w:rsid w:val="00E05A3C"/>
    <w:rPr>
      <w:rFonts w:ascii="Times New Roman" w:eastAsia="新細明體" w:hAnsi="Times New Roman"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kgrid.org/AuthoringManua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kgrid.org/kgrid-activator/" TargetMode="External"/><Relationship Id="rId2" Type="http://schemas.openxmlformats.org/officeDocument/2006/relationships/styles" Target="styles.xml"/><Relationship Id="rId16" Type="http://schemas.openxmlformats.org/officeDocument/2006/relationships/hyperlink" Target="https://github.com/kgrid/" TargetMode="External"/><Relationship Id="rId20" Type="http://schemas.openxmlformats.org/officeDocument/2006/relationships/hyperlink" Target="http://lhs.wanfang.gov.tw:806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kgrid.org" TargetMode="External"/><Relationship Id="rId10" Type="http://schemas.openxmlformats.org/officeDocument/2006/relationships/image" Target="media/image4.png"/><Relationship Id="rId19" Type="http://schemas.openxmlformats.org/officeDocument/2006/relationships/hyperlink" Target="http://kgrid.org/ActivatorManua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474</Words>
  <Characters>2706</Characters>
  <Application>Microsoft Office Word</Application>
  <DocSecurity>0</DocSecurity>
  <Lines>22</Lines>
  <Paragraphs>6</Paragraphs>
  <ScaleCrop>false</ScaleCrop>
  <Company>Toshiba</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2</cp:revision>
  <dcterms:created xsi:type="dcterms:W3CDTF">2017-12-21T14:59:00Z</dcterms:created>
  <dcterms:modified xsi:type="dcterms:W3CDTF">2017-12-21T14:59:00Z</dcterms:modified>
</cp:coreProperties>
</file>